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A2" w:rsidRPr="005D20A2" w:rsidRDefault="005D20A2" w:rsidP="005D20A2">
      <w:pPr>
        <w:pStyle w:val="NormalWeb"/>
        <w:jc w:val="center"/>
        <w:rPr>
          <w:rFonts w:asciiTheme="majorHAnsi" w:hAnsiTheme="majorHAnsi"/>
          <w:bCs/>
          <w:sz w:val="44"/>
          <w:szCs w:val="44"/>
          <w:u w:val="single"/>
          <w:lang/>
        </w:rPr>
      </w:pPr>
      <w:r w:rsidRPr="005D20A2">
        <w:rPr>
          <w:rFonts w:asciiTheme="majorHAnsi" w:hAnsiTheme="majorHAnsi"/>
          <w:bCs/>
          <w:sz w:val="44"/>
          <w:szCs w:val="44"/>
          <w:u w:val="single"/>
          <w:lang/>
        </w:rPr>
        <w:t>SIMCHAT TORAH</w:t>
      </w:r>
    </w:p>
    <w:p w:rsidR="005D20A2" w:rsidRDefault="005D20A2" w:rsidP="005D20A2">
      <w:pPr>
        <w:pStyle w:val="NormalWeb"/>
        <w:rPr>
          <w:rFonts w:asciiTheme="majorHAnsi" w:hAnsiTheme="majorHAnsi"/>
          <w:bCs/>
          <w:sz w:val="28"/>
          <w:szCs w:val="28"/>
          <w:lang/>
        </w:rPr>
      </w:pPr>
    </w:p>
    <w:p w:rsidR="005D20A2" w:rsidRPr="005D20A2" w:rsidRDefault="005D20A2" w:rsidP="005D20A2">
      <w:pPr>
        <w:pStyle w:val="NormalWeb"/>
        <w:rPr>
          <w:rFonts w:asciiTheme="majorHAnsi" w:hAnsiTheme="majorHAnsi"/>
          <w:sz w:val="32"/>
          <w:szCs w:val="32"/>
          <w:lang/>
        </w:rPr>
      </w:pPr>
      <w:r w:rsidRPr="005D20A2">
        <w:rPr>
          <w:rFonts w:asciiTheme="majorHAnsi" w:hAnsiTheme="majorHAnsi"/>
          <w:bCs/>
          <w:sz w:val="32"/>
          <w:szCs w:val="32"/>
          <w:lang/>
        </w:rPr>
        <w:t>Simchat Torah</w:t>
      </w:r>
      <w:r w:rsidRPr="005D20A2">
        <w:rPr>
          <w:rFonts w:asciiTheme="majorHAnsi" w:hAnsiTheme="majorHAnsi"/>
          <w:sz w:val="32"/>
          <w:szCs w:val="32"/>
          <w:lang/>
        </w:rPr>
        <w:t xml:space="preserve"> or </w:t>
      </w:r>
      <w:r w:rsidRPr="005D20A2">
        <w:rPr>
          <w:rFonts w:asciiTheme="majorHAnsi" w:hAnsiTheme="majorHAnsi"/>
          <w:bCs/>
          <w:sz w:val="32"/>
          <w:szCs w:val="32"/>
          <w:lang/>
        </w:rPr>
        <w:t>Simḥath Torah</w:t>
      </w:r>
      <w:r w:rsidRPr="005D20A2">
        <w:rPr>
          <w:rFonts w:asciiTheme="majorHAnsi" w:hAnsiTheme="majorHAnsi"/>
          <w:sz w:val="32"/>
          <w:szCs w:val="32"/>
          <w:lang/>
        </w:rPr>
        <w:t xml:space="preserve"> (also </w:t>
      </w:r>
      <w:r w:rsidRPr="005D20A2">
        <w:rPr>
          <w:rFonts w:asciiTheme="majorHAnsi" w:hAnsiTheme="majorHAnsi"/>
          <w:bCs/>
          <w:sz w:val="32"/>
          <w:szCs w:val="32"/>
          <w:lang/>
        </w:rPr>
        <w:t>Simkhes Toreh</w:t>
      </w:r>
      <w:r w:rsidRPr="005D20A2">
        <w:rPr>
          <w:rFonts w:asciiTheme="majorHAnsi" w:hAnsiTheme="majorHAnsi"/>
          <w:sz w:val="32"/>
          <w:szCs w:val="32"/>
          <w:lang/>
        </w:rPr>
        <w:t xml:space="preserve">, meaning: "Rejoicing with/of the Torah,") is a celebration marking the end of the year-long cycle of public </w:t>
      </w:r>
      <w:hyperlink r:id="rId6" w:tooltip="Torah reading" w:history="1">
        <w:r w:rsidRPr="005D20A2">
          <w:rPr>
            <w:rStyle w:val="Hyperlink"/>
            <w:rFonts w:asciiTheme="majorHAnsi" w:hAnsiTheme="majorHAnsi"/>
            <w:color w:val="auto"/>
            <w:sz w:val="32"/>
            <w:szCs w:val="32"/>
            <w:u w:val="none"/>
            <w:lang/>
          </w:rPr>
          <w:t>Torah readings</w:t>
        </w:r>
      </w:hyperlink>
      <w:r w:rsidRPr="005D20A2">
        <w:rPr>
          <w:rFonts w:asciiTheme="majorHAnsi" w:hAnsiTheme="majorHAnsi"/>
          <w:sz w:val="32"/>
          <w:szCs w:val="32"/>
          <w:lang/>
        </w:rPr>
        <w:t xml:space="preserve">, and the beginning of a new cycle. </w:t>
      </w:r>
    </w:p>
    <w:p w:rsidR="005D20A2" w:rsidRPr="005D20A2" w:rsidRDefault="005D20A2" w:rsidP="005D20A2">
      <w:pPr>
        <w:pStyle w:val="NormalWeb"/>
        <w:rPr>
          <w:rFonts w:asciiTheme="majorHAnsi" w:hAnsiTheme="majorHAnsi"/>
          <w:sz w:val="32"/>
          <w:szCs w:val="32"/>
          <w:lang/>
        </w:rPr>
      </w:pPr>
      <w:r w:rsidRPr="005D20A2">
        <w:rPr>
          <w:rFonts w:asciiTheme="majorHAnsi" w:hAnsiTheme="majorHAnsi"/>
          <w:sz w:val="32"/>
          <w:szCs w:val="32"/>
          <w:lang/>
        </w:rPr>
        <w:t xml:space="preserve">The main celebration of Simchat Torah takes place in the </w:t>
      </w:r>
      <w:hyperlink r:id="rId7" w:history="1">
        <w:r w:rsidRPr="005D20A2">
          <w:rPr>
            <w:rStyle w:val="Hyperlink"/>
            <w:rFonts w:asciiTheme="majorHAnsi" w:hAnsiTheme="majorHAnsi"/>
            <w:color w:val="auto"/>
            <w:sz w:val="32"/>
            <w:szCs w:val="32"/>
            <w:u w:val="none"/>
            <w:lang/>
          </w:rPr>
          <w:t>synagogue</w:t>
        </w:r>
      </w:hyperlink>
      <w:r w:rsidRPr="005D20A2">
        <w:rPr>
          <w:rFonts w:asciiTheme="majorHAnsi" w:hAnsiTheme="majorHAnsi"/>
          <w:sz w:val="32"/>
          <w:szCs w:val="32"/>
          <w:lang/>
        </w:rPr>
        <w:t xml:space="preserve"> during evening and morning services. In many </w:t>
      </w:r>
      <w:hyperlink r:id="rId8" w:tooltip="Orthodox Judaism" w:history="1">
        <w:r w:rsidRPr="005D20A2">
          <w:rPr>
            <w:rStyle w:val="Hyperlink"/>
            <w:rFonts w:asciiTheme="majorHAnsi" w:hAnsiTheme="majorHAnsi"/>
            <w:color w:val="auto"/>
            <w:sz w:val="32"/>
            <w:szCs w:val="32"/>
            <w:u w:val="none"/>
            <w:lang/>
          </w:rPr>
          <w:t>Orthodox</w:t>
        </w:r>
      </w:hyperlink>
      <w:r w:rsidRPr="005D20A2">
        <w:rPr>
          <w:rFonts w:asciiTheme="majorHAnsi" w:hAnsiTheme="majorHAnsi"/>
          <w:sz w:val="32"/>
          <w:szCs w:val="32"/>
          <w:lang/>
        </w:rPr>
        <w:t xml:space="preserve"> and </w:t>
      </w:r>
      <w:hyperlink r:id="rId9" w:tooltip="Conservative Judaism" w:history="1">
        <w:r w:rsidRPr="005D20A2">
          <w:rPr>
            <w:rStyle w:val="Hyperlink"/>
            <w:rFonts w:asciiTheme="majorHAnsi" w:hAnsiTheme="majorHAnsi"/>
            <w:color w:val="auto"/>
            <w:sz w:val="32"/>
            <w:szCs w:val="32"/>
            <w:u w:val="none"/>
            <w:lang/>
          </w:rPr>
          <w:t>Conservative</w:t>
        </w:r>
      </w:hyperlink>
      <w:r w:rsidRPr="005D20A2">
        <w:rPr>
          <w:rFonts w:asciiTheme="majorHAnsi" w:hAnsiTheme="majorHAnsi"/>
          <w:sz w:val="32"/>
          <w:szCs w:val="32"/>
          <w:lang/>
        </w:rPr>
        <w:t xml:space="preserve"> congregations, this is the only time of year on which the </w:t>
      </w:r>
      <w:hyperlink r:id="rId10" w:tooltip="Sefer Torah" w:history="1">
        <w:r w:rsidRPr="005D20A2">
          <w:rPr>
            <w:rStyle w:val="Hyperlink"/>
            <w:rFonts w:asciiTheme="majorHAnsi" w:hAnsiTheme="majorHAnsi"/>
            <w:color w:val="auto"/>
            <w:sz w:val="32"/>
            <w:szCs w:val="32"/>
            <w:u w:val="none"/>
            <w:lang/>
          </w:rPr>
          <w:t>Torah scrolls</w:t>
        </w:r>
      </w:hyperlink>
      <w:r w:rsidRPr="005D20A2">
        <w:rPr>
          <w:rFonts w:asciiTheme="majorHAnsi" w:hAnsiTheme="majorHAnsi"/>
          <w:sz w:val="32"/>
          <w:szCs w:val="32"/>
          <w:lang/>
        </w:rPr>
        <w:t xml:space="preserve"> are taken out of the </w:t>
      </w:r>
      <w:hyperlink r:id="rId11" w:tooltip="Ark (synagogue)" w:history="1">
        <w:r w:rsidRPr="005D20A2">
          <w:rPr>
            <w:rStyle w:val="Hyperlink"/>
            <w:rFonts w:asciiTheme="majorHAnsi" w:hAnsiTheme="majorHAnsi"/>
            <w:color w:val="auto"/>
            <w:sz w:val="32"/>
            <w:szCs w:val="32"/>
            <w:u w:val="none"/>
            <w:lang/>
          </w:rPr>
          <w:t>ark</w:t>
        </w:r>
      </w:hyperlink>
      <w:r w:rsidRPr="005D20A2">
        <w:rPr>
          <w:rFonts w:asciiTheme="majorHAnsi" w:hAnsiTheme="majorHAnsi"/>
          <w:sz w:val="32"/>
          <w:szCs w:val="32"/>
          <w:lang/>
        </w:rPr>
        <w:t xml:space="preserve"> and read at night. In the morning, the last </w:t>
      </w:r>
      <w:hyperlink r:id="rId12" w:history="1">
        <w:r w:rsidRPr="005D20A2">
          <w:rPr>
            <w:rStyle w:val="Hyperlink"/>
            <w:rFonts w:asciiTheme="majorHAnsi" w:hAnsiTheme="majorHAnsi"/>
            <w:i/>
            <w:iCs/>
            <w:color w:val="auto"/>
            <w:sz w:val="32"/>
            <w:szCs w:val="32"/>
            <w:u w:val="none"/>
            <w:lang/>
          </w:rPr>
          <w:t>parashah</w:t>
        </w:r>
      </w:hyperlink>
      <w:r w:rsidRPr="005D20A2">
        <w:rPr>
          <w:rFonts w:asciiTheme="majorHAnsi" w:hAnsiTheme="majorHAnsi"/>
          <w:sz w:val="32"/>
          <w:szCs w:val="32"/>
          <w:lang/>
        </w:rPr>
        <w:t xml:space="preserve"> of </w:t>
      </w:r>
      <w:hyperlink r:id="rId13" w:tooltip="Deuteronomy" w:history="1">
        <w:r w:rsidRPr="005D20A2">
          <w:rPr>
            <w:rStyle w:val="Hyperlink"/>
            <w:rFonts w:asciiTheme="majorHAnsi" w:hAnsiTheme="majorHAnsi"/>
            <w:color w:val="auto"/>
            <w:sz w:val="32"/>
            <w:szCs w:val="32"/>
            <w:u w:val="none"/>
            <w:lang/>
          </w:rPr>
          <w:t>Deuteronomy</w:t>
        </w:r>
      </w:hyperlink>
      <w:r w:rsidRPr="005D20A2">
        <w:rPr>
          <w:rFonts w:asciiTheme="majorHAnsi" w:hAnsiTheme="majorHAnsi"/>
          <w:sz w:val="32"/>
          <w:szCs w:val="32"/>
          <w:lang/>
        </w:rPr>
        <w:t xml:space="preserve"> and the first </w:t>
      </w:r>
      <w:r w:rsidRPr="005D20A2">
        <w:rPr>
          <w:rFonts w:asciiTheme="majorHAnsi" w:hAnsiTheme="majorHAnsi"/>
          <w:i/>
          <w:iCs/>
          <w:sz w:val="32"/>
          <w:szCs w:val="32"/>
          <w:lang/>
        </w:rPr>
        <w:t>parashah</w:t>
      </w:r>
      <w:r w:rsidRPr="005D20A2">
        <w:rPr>
          <w:rFonts w:asciiTheme="majorHAnsi" w:hAnsiTheme="majorHAnsi"/>
          <w:sz w:val="32"/>
          <w:szCs w:val="32"/>
          <w:lang/>
        </w:rPr>
        <w:t xml:space="preserve"> of </w:t>
      </w:r>
      <w:hyperlink r:id="rId14" w:tooltip="Book of Genesis" w:history="1">
        <w:r w:rsidRPr="005D20A2">
          <w:rPr>
            <w:rStyle w:val="Hyperlink"/>
            <w:rFonts w:asciiTheme="majorHAnsi" w:hAnsiTheme="majorHAnsi"/>
            <w:color w:val="auto"/>
            <w:sz w:val="32"/>
            <w:szCs w:val="32"/>
            <w:u w:val="none"/>
            <w:lang/>
          </w:rPr>
          <w:t>Genesis</w:t>
        </w:r>
      </w:hyperlink>
      <w:r w:rsidRPr="005D20A2">
        <w:rPr>
          <w:rFonts w:asciiTheme="majorHAnsi" w:hAnsiTheme="majorHAnsi"/>
          <w:sz w:val="32"/>
          <w:szCs w:val="32"/>
          <w:lang/>
        </w:rPr>
        <w:t xml:space="preserve"> are read in the synagogue. On each occasion, when the ark is opened, all the worshippers leave their seats to dance and sing with all the Torah scrolls in a joyous celebration that often lasts for several hours and more.</w:t>
      </w:r>
    </w:p>
    <w:p w:rsidR="005D20A2" w:rsidRDefault="005D20A2"/>
    <w:p w:rsidR="005D20A2" w:rsidRDefault="005D20A2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4260850</wp:posOffset>
            </wp:positionH>
            <wp:positionV relativeFrom="paragraph">
              <wp:posOffset>6350</wp:posOffset>
            </wp:positionV>
            <wp:extent cx="1824355" cy="1786255"/>
            <wp:effectExtent l="19050" t="0" r="4445" b="0"/>
            <wp:wrapTight wrapText="bothSides">
              <wp:wrapPolygon edited="0">
                <wp:start x="16691" y="0"/>
                <wp:lineTo x="4962" y="461"/>
                <wp:lineTo x="-226" y="1613"/>
                <wp:lineTo x="-226" y="20041"/>
                <wp:lineTo x="8571" y="21423"/>
                <wp:lineTo x="17593" y="21423"/>
                <wp:lineTo x="19623" y="21423"/>
                <wp:lineTo x="20525" y="21423"/>
                <wp:lineTo x="21653" y="19811"/>
                <wp:lineTo x="21653" y="1613"/>
                <wp:lineTo x="21427" y="921"/>
                <wp:lineTo x="20074" y="0"/>
                <wp:lineTo x="16691" y="0"/>
              </wp:wrapPolygon>
            </wp:wrapTight>
            <wp:docPr id="3" name="Picture 2" descr="C:\Users\Kath\AppData\Local\Microsoft\Windows\Temporary Internet Files\Content.IE5\ROTSHPVD\MC9004334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h\AppData\Local\Microsoft\Windows\Temporary Internet Files\Content.IE5\ROTSHPVD\MC900433498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20A2" w:rsidRDefault="005D20A2"/>
    <w:p w:rsidR="005D20A2" w:rsidRDefault="005D20A2"/>
    <w:p w:rsidR="005D20A2" w:rsidRPr="005D20A2" w:rsidRDefault="005D20A2">
      <w:pPr>
        <w:rPr>
          <w:sz w:val="32"/>
          <w:szCs w:val="32"/>
        </w:rPr>
      </w:pPr>
    </w:p>
    <w:p w:rsidR="00EE2591" w:rsidRPr="005D20A2" w:rsidRDefault="004035FF">
      <w:pPr>
        <w:rPr>
          <w:rStyle w:val="HTMLCite"/>
          <w:rFonts w:ascii="Arial" w:hAnsi="Arial" w:cs="Arial"/>
          <w:sz w:val="32"/>
          <w:szCs w:val="32"/>
        </w:rPr>
      </w:pPr>
      <w:r>
        <w:rPr>
          <w:sz w:val="32"/>
          <w:szCs w:val="32"/>
        </w:rPr>
        <w:t xml:space="preserve">See also </w:t>
      </w:r>
      <w:r w:rsidR="005D20A2" w:rsidRPr="005D20A2">
        <w:rPr>
          <w:sz w:val="32"/>
          <w:szCs w:val="32"/>
        </w:rPr>
        <w:t xml:space="preserve">Simchat Torah for kids: </w:t>
      </w:r>
      <w:hyperlink r:id="rId16" w:history="1">
        <w:r w:rsidR="005D20A2" w:rsidRPr="005D20A2">
          <w:rPr>
            <w:rStyle w:val="Hyperlink"/>
            <w:rFonts w:ascii="Arial" w:hAnsi="Arial" w:cs="Arial"/>
            <w:sz w:val="32"/>
            <w:szCs w:val="32"/>
          </w:rPr>
          <w:t>www.chabad.org/kids</w:t>
        </w:r>
      </w:hyperlink>
    </w:p>
    <w:p w:rsidR="005D20A2" w:rsidRDefault="005D20A2"/>
    <w:sectPr w:rsidR="005D20A2" w:rsidSect="00EE2591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FEC" w:rsidRDefault="00613FEC" w:rsidP="005D20A2">
      <w:pPr>
        <w:spacing w:after="0" w:line="240" w:lineRule="auto"/>
      </w:pPr>
      <w:r>
        <w:separator/>
      </w:r>
    </w:p>
  </w:endnote>
  <w:endnote w:type="continuationSeparator" w:id="0">
    <w:p w:rsidR="00613FEC" w:rsidRDefault="00613FEC" w:rsidP="005D2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0A2" w:rsidRDefault="005D20A2">
    <w:pPr>
      <w:pStyle w:val="Footer"/>
    </w:pPr>
    <w:r>
      <w:t>Special Books KS1 Background info Simchat Torah</w:t>
    </w:r>
  </w:p>
  <w:p w:rsidR="005D20A2" w:rsidRDefault="005D20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FEC" w:rsidRDefault="00613FEC" w:rsidP="005D20A2">
      <w:pPr>
        <w:spacing w:after="0" w:line="240" w:lineRule="auto"/>
      </w:pPr>
      <w:r>
        <w:separator/>
      </w:r>
    </w:p>
  </w:footnote>
  <w:footnote w:type="continuationSeparator" w:id="0">
    <w:p w:rsidR="00613FEC" w:rsidRDefault="00613FEC" w:rsidP="005D2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0A2"/>
    <w:rsid w:val="004035FF"/>
    <w:rsid w:val="005D20A2"/>
    <w:rsid w:val="00613FEC"/>
    <w:rsid w:val="00EE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20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5D2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20A2"/>
  </w:style>
  <w:style w:type="paragraph" w:styleId="Footer">
    <w:name w:val="footer"/>
    <w:basedOn w:val="Normal"/>
    <w:link w:val="FooterChar"/>
    <w:uiPriority w:val="99"/>
    <w:unhideWhenUsed/>
    <w:rsid w:val="005D2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0A2"/>
  </w:style>
  <w:style w:type="paragraph" w:styleId="BalloonText">
    <w:name w:val="Balloon Text"/>
    <w:basedOn w:val="Normal"/>
    <w:link w:val="BalloonTextChar"/>
    <w:uiPriority w:val="99"/>
    <w:semiHidden/>
    <w:unhideWhenUsed/>
    <w:rsid w:val="005D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0A2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5D20A2"/>
    <w:rPr>
      <w:i w:val="0"/>
      <w:iCs w:val="0"/>
      <w:color w:val="0E774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Orthodox_Judaism" TargetMode="External"/><Relationship Id="rId13" Type="http://schemas.openxmlformats.org/officeDocument/2006/relationships/hyperlink" Target="http://en.wikipedia.org/wiki/Deuteronomy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Synagogue" TargetMode="External"/><Relationship Id="rId12" Type="http://schemas.openxmlformats.org/officeDocument/2006/relationships/hyperlink" Target="http://en.wikipedia.org/wiki/Parashah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chabad.org/kids" TargetMode="External"/><Relationship Id="rId1" Type="http://schemas.openxmlformats.org/officeDocument/2006/relationships/styles" Target="styles.xml"/><Relationship Id="rId6" Type="http://schemas.openxmlformats.org/officeDocument/2006/relationships/hyperlink" Target="http://en.wikipedia.org/wiki/Torah_reading" TargetMode="External"/><Relationship Id="rId11" Type="http://schemas.openxmlformats.org/officeDocument/2006/relationships/hyperlink" Target="http://en.wikipedia.org/wiki/Ark_(synagogue)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.wmf"/><Relationship Id="rId10" Type="http://schemas.openxmlformats.org/officeDocument/2006/relationships/hyperlink" Target="http://en.wikipedia.org/wiki/Sefer_Torah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en.wikipedia.org/wiki/Conservative_Judaism" TargetMode="External"/><Relationship Id="rId14" Type="http://schemas.openxmlformats.org/officeDocument/2006/relationships/hyperlink" Target="http://en.wikipedia.org/wiki/Book_of_Gene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</dc:creator>
  <cp:keywords/>
  <dc:description/>
  <cp:lastModifiedBy>Kath</cp:lastModifiedBy>
  <cp:revision>1</cp:revision>
  <dcterms:created xsi:type="dcterms:W3CDTF">2011-04-07T09:00:00Z</dcterms:created>
  <dcterms:modified xsi:type="dcterms:W3CDTF">2011-04-07T09:10:00Z</dcterms:modified>
</cp:coreProperties>
</file>