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92" w:type="dxa"/>
        <w:tblInd w:w="-62" w:type="dxa"/>
        <w:tblLayout w:type="fixed"/>
        <w:tblCellMar>
          <w:left w:w="57" w:type="dxa"/>
          <w:right w:w="57" w:type="dxa"/>
        </w:tblCellMar>
        <w:tblLook w:val="04A0" w:firstRow="1" w:lastRow="0" w:firstColumn="1" w:lastColumn="0" w:noHBand="0" w:noVBand="1"/>
      </w:tblPr>
      <w:tblGrid>
        <w:gridCol w:w="3601"/>
        <w:gridCol w:w="4678"/>
        <w:gridCol w:w="4252"/>
        <w:gridCol w:w="3261"/>
      </w:tblGrid>
      <w:tr w:rsidR="00BA51C6" w:rsidRPr="00B97A6A" w14:paraId="4C3A33E3" w14:textId="77777777" w:rsidTr="00924750">
        <w:trPr>
          <w:trHeight w:val="557"/>
        </w:trPr>
        <w:tc>
          <w:tcPr>
            <w:tcW w:w="12531" w:type="dxa"/>
            <w:gridSpan w:val="3"/>
            <w:vAlign w:val="center"/>
          </w:tcPr>
          <w:p w14:paraId="1A9CCAB0" w14:textId="77777777" w:rsidR="00BA51C6" w:rsidRPr="001B6276" w:rsidRDefault="00BA51C6" w:rsidP="00924750">
            <w:pPr>
              <w:rPr>
                <w:rFonts w:cs="Arial"/>
                <w:b/>
                <w:i/>
                <w:color w:val="0088CC"/>
                <w:sz w:val="38"/>
                <w:szCs w:val="38"/>
              </w:rPr>
            </w:pPr>
            <w:r w:rsidRPr="001B6276">
              <w:rPr>
                <w:rFonts w:cs="Arial"/>
                <w:b/>
                <w:i/>
                <w:color w:val="0088CC"/>
                <w:sz w:val="38"/>
                <w:szCs w:val="38"/>
              </w:rPr>
              <w:t>Living Difference I</w:t>
            </w:r>
            <w:r>
              <w:rPr>
                <w:rFonts w:cs="Arial"/>
                <w:b/>
                <w:i/>
                <w:color w:val="0088CC"/>
                <w:sz w:val="38"/>
                <w:szCs w:val="38"/>
              </w:rPr>
              <w:t>V</w:t>
            </w:r>
            <w:r>
              <w:rPr>
                <w:rFonts w:cs="Arial"/>
                <w:b/>
                <w:color w:val="0088CC"/>
                <w:sz w:val="38"/>
                <w:szCs w:val="38"/>
              </w:rPr>
              <w:t xml:space="preserve">: Unit of Study overview </w:t>
            </w:r>
          </w:p>
        </w:tc>
        <w:tc>
          <w:tcPr>
            <w:tcW w:w="3261" w:type="dxa"/>
            <w:vMerge w:val="restart"/>
          </w:tcPr>
          <w:p w14:paraId="0C188620" w14:textId="77777777" w:rsidR="00BA51C6" w:rsidRDefault="00BA51C6" w:rsidP="00924750">
            <w:pPr>
              <w:rPr>
                <w:rFonts w:cs="Arial"/>
                <w:b/>
                <w:color w:val="000000"/>
                <w:sz w:val="24"/>
                <w:szCs w:val="24"/>
              </w:rPr>
            </w:pPr>
            <w:r>
              <w:rPr>
                <w:rFonts w:cs="Arial"/>
                <w:b/>
                <w:noProof/>
                <w:color w:val="000000"/>
                <w:sz w:val="24"/>
                <w:szCs w:val="24"/>
                <w:lang w:eastAsia="en-GB"/>
              </w:rPr>
              <w:drawing>
                <wp:anchor distT="0" distB="0" distL="114300" distR="114300" simplePos="0" relativeHeight="251659264" behindDoc="0" locked="0" layoutInCell="1" allowOverlap="1" wp14:anchorId="3E24B2BD" wp14:editId="20E9C27F">
                  <wp:simplePos x="0" y="0"/>
                  <wp:positionH relativeFrom="column">
                    <wp:posOffset>-11430</wp:posOffset>
                  </wp:positionH>
                  <wp:positionV relativeFrom="paragraph">
                    <wp:posOffset>52705</wp:posOffset>
                  </wp:positionV>
                  <wp:extent cx="1901022" cy="733425"/>
                  <wp:effectExtent l="0" t="0" r="444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633" cy="7352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DE3858" w14:textId="77777777" w:rsidR="00BA51C6" w:rsidRDefault="00BA51C6" w:rsidP="00924750">
            <w:pPr>
              <w:rPr>
                <w:rFonts w:cs="Arial"/>
                <w:b/>
                <w:color w:val="000000"/>
                <w:sz w:val="24"/>
                <w:szCs w:val="24"/>
              </w:rPr>
            </w:pPr>
          </w:p>
          <w:p w14:paraId="1F243CB8" w14:textId="77777777" w:rsidR="00BA51C6" w:rsidRPr="00B97A6A" w:rsidRDefault="00BA51C6" w:rsidP="00924750">
            <w:pPr>
              <w:rPr>
                <w:rFonts w:cs="Arial"/>
                <w:b/>
                <w:color w:val="000000"/>
                <w:sz w:val="24"/>
                <w:szCs w:val="24"/>
              </w:rPr>
            </w:pPr>
          </w:p>
        </w:tc>
      </w:tr>
      <w:tr w:rsidR="00BA51C6" w:rsidRPr="00292C03" w14:paraId="7B8AA2E4" w14:textId="77777777" w:rsidTr="00924750">
        <w:trPr>
          <w:trHeight w:val="503"/>
        </w:trPr>
        <w:tc>
          <w:tcPr>
            <w:tcW w:w="3601" w:type="dxa"/>
            <w:vAlign w:val="center"/>
          </w:tcPr>
          <w:p w14:paraId="6FE56B85" w14:textId="77777777" w:rsidR="00BA51C6" w:rsidRPr="00292C03" w:rsidRDefault="00BA51C6" w:rsidP="00924750">
            <w:pPr>
              <w:rPr>
                <w:rFonts w:cs="Arial"/>
                <w:b/>
                <w:sz w:val="24"/>
                <w:szCs w:val="24"/>
              </w:rPr>
            </w:pPr>
            <w:r w:rsidRPr="00292C03">
              <w:rPr>
                <w:rFonts w:cs="Arial"/>
                <w:b/>
                <w:sz w:val="24"/>
                <w:szCs w:val="24"/>
              </w:rPr>
              <w:t>Year group</w:t>
            </w:r>
            <w:r>
              <w:rPr>
                <w:rFonts w:cs="Arial"/>
                <w:b/>
                <w:sz w:val="24"/>
                <w:szCs w:val="24"/>
              </w:rPr>
              <w:t xml:space="preserve"> 7</w:t>
            </w:r>
          </w:p>
        </w:tc>
        <w:tc>
          <w:tcPr>
            <w:tcW w:w="8930" w:type="dxa"/>
            <w:gridSpan w:val="2"/>
            <w:vAlign w:val="center"/>
          </w:tcPr>
          <w:p w14:paraId="4F5AC846" w14:textId="77777777" w:rsidR="00BA51C6" w:rsidRDefault="00BA51C6" w:rsidP="00924750">
            <w:pPr>
              <w:rPr>
                <w:rFonts w:cs="Arial"/>
                <w:b/>
                <w:sz w:val="24"/>
                <w:szCs w:val="24"/>
              </w:rPr>
            </w:pPr>
            <w:r w:rsidRPr="00292C03">
              <w:rPr>
                <w:rFonts w:cs="Arial"/>
                <w:b/>
                <w:sz w:val="24"/>
                <w:szCs w:val="24"/>
              </w:rPr>
              <w:t>Where this unit fits in</w:t>
            </w:r>
            <w:r>
              <w:rPr>
                <w:rFonts w:cs="Arial"/>
                <w:b/>
                <w:sz w:val="24"/>
                <w:szCs w:val="24"/>
              </w:rPr>
              <w:t>: Autumn Term. 12 lessons.</w:t>
            </w:r>
          </w:p>
          <w:p w14:paraId="68C2021D" w14:textId="77777777" w:rsidR="00BA51C6" w:rsidRPr="00292C03" w:rsidRDefault="00BA51C6" w:rsidP="00924750">
            <w:pPr>
              <w:rPr>
                <w:rFonts w:cs="Arial"/>
                <w:b/>
                <w:sz w:val="24"/>
                <w:szCs w:val="24"/>
              </w:rPr>
            </w:pPr>
            <w:r>
              <w:rPr>
                <w:rFonts w:cs="Arial"/>
                <w:b/>
                <w:sz w:val="24"/>
                <w:szCs w:val="24"/>
              </w:rPr>
              <w:t xml:space="preserve">Transition Unit of Study </w:t>
            </w:r>
            <w:r w:rsidRPr="00220B54">
              <w:rPr>
                <w:rFonts w:cs="Arial"/>
                <w:bCs/>
                <w:i/>
                <w:iCs/>
                <w:sz w:val="24"/>
                <w:szCs w:val="24"/>
              </w:rPr>
              <w:t>‘Picking up the golden threads’</w:t>
            </w:r>
          </w:p>
        </w:tc>
        <w:tc>
          <w:tcPr>
            <w:tcW w:w="3261" w:type="dxa"/>
            <w:vMerge/>
          </w:tcPr>
          <w:p w14:paraId="75D806D2" w14:textId="77777777" w:rsidR="00BA51C6" w:rsidRPr="00292C03" w:rsidRDefault="00BA51C6" w:rsidP="00924750">
            <w:pPr>
              <w:rPr>
                <w:rFonts w:cs="Arial"/>
                <w:b/>
                <w:noProof/>
                <w:color w:val="000000"/>
                <w:sz w:val="24"/>
                <w:szCs w:val="24"/>
                <w:lang w:eastAsia="en-GB"/>
              </w:rPr>
            </w:pPr>
          </w:p>
        </w:tc>
      </w:tr>
      <w:tr w:rsidR="00BA51C6" w:rsidRPr="00292C03" w14:paraId="336D5100" w14:textId="77777777" w:rsidTr="00924750">
        <w:trPr>
          <w:trHeight w:val="559"/>
        </w:trPr>
        <w:tc>
          <w:tcPr>
            <w:tcW w:w="15792" w:type="dxa"/>
            <w:gridSpan w:val="4"/>
            <w:vAlign w:val="center"/>
          </w:tcPr>
          <w:p w14:paraId="109807BB" w14:textId="77777777" w:rsidR="00BA51C6" w:rsidRPr="00292C03" w:rsidRDefault="00BA51C6" w:rsidP="00924750">
            <w:pPr>
              <w:rPr>
                <w:rFonts w:cs="Arial"/>
                <w:b/>
                <w:color w:val="000000"/>
                <w:sz w:val="24"/>
                <w:szCs w:val="24"/>
              </w:rPr>
            </w:pPr>
            <w:r w:rsidRPr="00292C03">
              <w:rPr>
                <w:rFonts w:cs="Arial"/>
                <w:b/>
                <w:color w:val="000000"/>
                <w:sz w:val="24"/>
                <w:szCs w:val="24"/>
              </w:rPr>
              <w:t>Overarching question for the Unit of study</w:t>
            </w:r>
            <w:r w:rsidRPr="00292C03">
              <w:rPr>
                <w:rFonts w:cs="Arial"/>
                <w:bCs/>
                <w:color w:val="000000"/>
                <w:sz w:val="24"/>
                <w:szCs w:val="24"/>
              </w:rPr>
              <w:t xml:space="preserve">: </w:t>
            </w:r>
            <w:r w:rsidRPr="005031FD">
              <w:rPr>
                <w:rFonts w:cs="Arial"/>
                <w:bCs/>
                <w:i/>
                <w:iCs/>
                <w:color w:val="000000"/>
                <w:sz w:val="24"/>
                <w:szCs w:val="24"/>
              </w:rPr>
              <w:t>Why might belonging to some communities be more special than others?</w:t>
            </w:r>
          </w:p>
        </w:tc>
      </w:tr>
      <w:tr w:rsidR="00BA51C6" w:rsidRPr="000C5439" w14:paraId="57AD45F2" w14:textId="77777777" w:rsidTr="00924750">
        <w:trPr>
          <w:trHeight w:val="624"/>
        </w:trPr>
        <w:tc>
          <w:tcPr>
            <w:tcW w:w="15792" w:type="dxa"/>
            <w:gridSpan w:val="4"/>
            <w:vAlign w:val="center"/>
          </w:tcPr>
          <w:p w14:paraId="03C92C18" w14:textId="77777777" w:rsidR="00BA51C6" w:rsidRPr="000C5439" w:rsidRDefault="00BA51C6" w:rsidP="00924750">
            <w:pPr>
              <w:rPr>
                <w:rFonts w:cs="Arial"/>
                <w:b/>
                <w:color w:val="000000"/>
                <w:sz w:val="24"/>
                <w:szCs w:val="24"/>
              </w:rPr>
            </w:pPr>
            <w:r w:rsidRPr="000C5439">
              <w:rPr>
                <w:rFonts w:cs="Arial"/>
                <w:b/>
                <w:color w:val="000000"/>
                <w:sz w:val="24"/>
                <w:szCs w:val="24"/>
              </w:rPr>
              <w:t xml:space="preserve">Key concepts/words for each cycle of enquiry: </w:t>
            </w:r>
            <w:r>
              <w:rPr>
                <w:rFonts w:cs="Arial"/>
                <w:b/>
                <w:color w:val="000000"/>
                <w:sz w:val="24"/>
                <w:szCs w:val="24"/>
              </w:rPr>
              <w:t xml:space="preserve">Special (sacrament), Community (Church) and </w:t>
            </w:r>
            <w:proofErr w:type="gramStart"/>
            <w:r>
              <w:rPr>
                <w:rFonts w:cs="Arial"/>
                <w:b/>
                <w:color w:val="000000"/>
                <w:sz w:val="24"/>
                <w:szCs w:val="24"/>
              </w:rPr>
              <w:t>Belonging</w:t>
            </w:r>
            <w:proofErr w:type="gramEnd"/>
          </w:p>
        </w:tc>
      </w:tr>
      <w:tr w:rsidR="00BA51C6" w:rsidRPr="000C5439" w14:paraId="063CBD6A" w14:textId="77777777" w:rsidTr="00924750">
        <w:trPr>
          <w:trHeight w:val="624"/>
        </w:trPr>
        <w:tc>
          <w:tcPr>
            <w:tcW w:w="15792" w:type="dxa"/>
            <w:gridSpan w:val="4"/>
            <w:vAlign w:val="center"/>
          </w:tcPr>
          <w:p w14:paraId="2D613BB8" w14:textId="77777777" w:rsidR="00BA51C6" w:rsidRPr="000C5439" w:rsidRDefault="00BA51C6" w:rsidP="00924750">
            <w:pPr>
              <w:rPr>
                <w:rFonts w:cs="Arial"/>
                <w:b/>
                <w:color w:val="000000"/>
                <w:sz w:val="24"/>
                <w:szCs w:val="24"/>
              </w:rPr>
            </w:pPr>
            <w:r w:rsidRPr="000C5439">
              <w:rPr>
                <w:rFonts w:cs="Arial"/>
                <w:b/>
                <w:color w:val="000000"/>
                <w:sz w:val="24"/>
                <w:szCs w:val="24"/>
              </w:rPr>
              <w:t xml:space="preserve">Additional vocabulary young people will be able to use because of the teaching in this unit:   </w:t>
            </w:r>
            <w:r w:rsidRPr="005355DC">
              <w:rPr>
                <w:rFonts w:cs="Arial"/>
                <w:bCs/>
                <w:color w:val="000000"/>
                <w:sz w:val="20"/>
                <w:szCs w:val="20"/>
              </w:rPr>
              <w:t>psychology, theology, denomination, Roman Catholic, Anglican, Baptist, sacrament, baptism, blessing, priest, minister.</w:t>
            </w:r>
          </w:p>
        </w:tc>
      </w:tr>
      <w:tr w:rsidR="00BA51C6" w:rsidRPr="005136D0" w14:paraId="11CCAC1B" w14:textId="77777777" w:rsidTr="00924750">
        <w:trPr>
          <w:trHeight w:val="423"/>
        </w:trPr>
        <w:tc>
          <w:tcPr>
            <w:tcW w:w="8279" w:type="dxa"/>
            <w:gridSpan w:val="2"/>
            <w:shd w:val="clear" w:color="auto" w:fill="B8DCF2"/>
            <w:vAlign w:val="center"/>
          </w:tcPr>
          <w:p w14:paraId="633B4E7E" w14:textId="77777777" w:rsidR="00BA51C6" w:rsidRPr="005136D0" w:rsidRDefault="00BA51C6" w:rsidP="00924750">
            <w:pPr>
              <w:rPr>
                <w:rFonts w:cs="Arial"/>
                <w:b/>
                <w:color w:val="000000"/>
                <w:sz w:val="24"/>
                <w:szCs w:val="24"/>
              </w:rPr>
            </w:pPr>
            <w:r w:rsidRPr="00F37CAD">
              <w:rPr>
                <w:rFonts w:cs="Arial"/>
                <w:b/>
                <w:color w:val="000000"/>
                <w:sz w:val="24"/>
                <w:szCs w:val="24"/>
              </w:rPr>
              <w:t xml:space="preserve">Knowledge </w:t>
            </w:r>
            <w:r>
              <w:rPr>
                <w:rFonts w:cs="Arial"/>
                <w:b/>
                <w:color w:val="000000"/>
                <w:sz w:val="24"/>
                <w:szCs w:val="24"/>
              </w:rPr>
              <w:t>to be taught</w:t>
            </w:r>
            <w:r w:rsidRPr="00F37CAD">
              <w:rPr>
                <w:rFonts w:cs="Arial"/>
                <w:b/>
                <w:color w:val="000000"/>
                <w:sz w:val="24"/>
                <w:szCs w:val="24"/>
              </w:rPr>
              <w:t xml:space="preserve"> (especially at </w:t>
            </w:r>
            <w:r>
              <w:rPr>
                <w:rFonts w:cs="Arial"/>
                <w:b/>
                <w:color w:val="000000"/>
                <w:sz w:val="24"/>
                <w:szCs w:val="24"/>
              </w:rPr>
              <w:t>I</w:t>
            </w:r>
            <w:r w:rsidRPr="00F37CAD">
              <w:rPr>
                <w:rFonts w:cs="Arial"/>
                <w:b/>
                <w:color w:val="000000"/>
                <w:sz w:val="24"/>
                <w:szCs w:val="24"/>
              </w:rPr>
              <w:t>nquire and Contextualise)</w:t>
            </w:r>
          </w:p>
        </w:tc>
        <w:tc>
          <w:tcPr>
            <w:tcW w:w="7513" w:type="dxa"/>
            <w:gridSpan w:val="2"/>
            <w:shd w:val="clear" w:color="auto" w:fill="B8DCF2"/>
            <w:vAlign w:val="center"/>
          </w:tcPr>
          <w:p w14:paraId="753F2072" w14:textId="77777777" w:rsidR="00BA51C6" w:rsidRPr="005136D0" w:rsidRDefault="00BA51C6" w:rsidP="00924750">
            <w:pPr>
              <w:rPr>
                <w:rFonts w:cs="Arial"/>
                <w:b/>
                <w:color w:val="000000"/>
                <w:sz w:val="24"/>
                <w:szCs w:val="24"/>
              </w:rPr>
            </w:pPr>
            <w:r>
              <w:rPr>
                <w:rFonts w:cs="Arial"/>
                <w:b/>
                <w:color w:val="000000"/>
                <w:sz w:val="24"/>
                <w:szCs w:val="24"/>
              </w:rPr>
              <w:t>How vocabulary and knowledge link together with earlier units</w:t>
            </w:r>
          </w:p>
        </w:tc>
      </w:tr>
      <w:tr w:rsidR="00BA51C6" w:rsidRPr="0091391B" w14:paraId="136E6E16" w14:textId="77777777" w:rsidTr="00924750">
        <w:trPr>
          <w:trHeight w:val="1074"/>
        </w:trPr>
        <w:tc>
          <w:tcPr>
            <w:tcW w:w="8279" w:type="dxa"/>
            <w:gridSpan w:val="2"/>
            <w:shd w:val="clear" w:color="auto" w:fill="auto"/>
          </w:tcPr>
          <w:p w14:paraId="73F3307E" w14:textId="77777777" w:rsidR="00BA51C6" w:rsidRPr="00AE0567" w:rsidRDefault="00BA51C6" w:rsidP="00924750">
            <w:pPr>
              <w:rPr>
                <w:rFonts w:cs="Arial"/>
                <w:bCs/>
                <w:color w:val="000000"/>
                <w:sz w:val="20"/>
                <w:szCs w:val="20"/>
              </w:rPr>
            </w:pPr>
            <w:r w:rsidRPr="0091391B">
              <w:rPr>
                <w:rFonts w:cs="Arial"/>
                <w:bCs/>
                <w:color w:val="000000"/>
                <w:sz w:val="20"/>
                <w:szCs w:val="20"/>
              </w:rPr>
              <w:t>Christian denominations</w:t>
            </w:r>
            <w:r>
              <w:rPr>
                <w:rFonts w:cs="Arial"/>
                <w:bCs/>
                <w:color w:val="000000"/>
                <w:sz w:val="20"/>
                <w:szCs w:val="20"/>
              </w:rPr>
              <w:t xml:space="preserve">: historical timeline, </w:t>
            </w:r>
            <w:proofErr w:type="gramStart"/>
            <w:r>
              <w:rPr>
                <w:rFonts w:cs="Arial"/>
                <w:bCs/>
                <w:color w:val="000000"/>
                <w:sz w:val="20"/>
                <w:szCs w:val="20"/>
              </w:rPr>
              <w:t>names</w:t>
            </w:r>
            <w:proofErr w:type="gramEnd"/>
            <w:r>
              <w:rPr>
                <w:rFonts w:cs="Arial"/>
                <w:bCs/>
                <w:color w:val="000000"/>
                <w:sz w:val="20"/>
                <w:szCs w:val="20"/>
              </w:rPr>
              <w:t xml:space="preserve"> and key theological debates around ‘sacrament’.  The concept of Church as community and ‘body of Christ’.  </w:t>
            </w:r>
            <w:r w:rsidRPr="0091391B">
              <w:rPr>
                <w:rFonts w:cs="Arial"/>
                <w:bCs/>
                <w:color w:val="000000"/>
                <w:sz w:val="20"/>
                <w:szCs w:val="20"/>
              </w:rPr>
              <w:t xml:space="preserve">Distinctions between Roman Catholic, </w:t>
            </w:r>
            <w:proofErr w:type="gramStart"/>
            <w:r w:rsidRPr="0091391B">
              <w:rPr>
                <w:rFonts w:cs="Arial"/>
                <w:bCs/>
                <w:color w:val="000000"/>
                <w:sz w:val="20"/>
                <w:szCs w:val="20"/>
              </w:rPr>
              <w:t>Anglican</w:t>
            </w:r>
            <w:proofErr w:type="gramEnd"/>
            <w:r w:rsidRPr="0091391B">
              <w:rPr>
                <w:rFonts w:cs="Arial"/>
                <w:bCs/>
                <w:color w:val="000000"/>
                <w:sz w:val="20"/>
                <w:szCs w:val="20"/>
              </w:rPr>
              <w:t xml:space="preserve"> and Baptist Christian ceremonies of belonging and key theological differences</w:t>
            </w:r>
            <w:r>
              <w:rPr>
                <w:rFonts w:cs="Arial"/>
                <w:bCs/>
                <w:color w:val="000000"/>
                <w:sz w:val="20"/>
                <w:szCs w:val="20"/>
              </w:rPr>
              <w:t xml:space="preserve">.  </w:t>
            </w:r>
            <w:r w:rsidRPr="0091391B">
              <w:rPr>
                <w:rFonts w:cs="Arial"/>
                <w:bCs/>
                <w:color w:val="000000"/>
                <w:sz w:val="20"/>
                <w:szCs w:val="20"/>
              </w:rPr>
              <w:t>Belonging as human need (</w:t>
            </w:r>
            <w:r>
              <w:rPr>
                <w:rFonts w:cs="Arial"/>
                <w:bCs/>
                <w:color w:val="000000"/>
                <w:sz w:val="20"/>
                <w:szCs w:val="20"/>
              </w:rPr>
              <w:t xml:space="preserve">discussions </w:t>
            </w:r>
            <w:r w:rsidRPr="0091391B">
              <w:rPr>
                <w:rFonts w:cs="Arial"/>
                <w:bCs/>
                <w:color w:val="000000"/>
                <w:sz w:val="20"/>
                <w:szCs w:val="20"/>
              </w:rPr>
              <w:t xml:space="preserve">from psychology). </w:t>
            </w:r>
          </w:p>
        </w:tc>
        <w:tc>
          <w:tcPr>
            <w:tcW w:w="7513" w:type="dxa"/>
            <w:gridSpan w:val="2"/>
          </w:tcPr>
          <w:p w14:paraId="539843D0" w14:textId="77777777" w:rsidR="00BA51C6" w:rsidRPr="0091391B" w:rsidRDefault="00BA51C6" w:rsidP="00924750">
            <w:pPr>
              <w:rPr>
                <w:rFonts w:cs="Arial"/>
                <w:bCs/>
                <w:color w:val="000000"/>
                <w:sz w:val="20"/>
                <w:szCs w:val="20"/>
              </w:rPr>
            </w:pPr>
            <w:r>
              <w:rPr>
                <w:rFonts w:cs="Arial"/>
                <w:bCs/>
                <w:color w:val="000000"/>
                <w:sz w:val="20"/>
                <w:szCs w:val="20"/>
              </w:rPr>
              <w:t>Brings</w:t>
            </w:r>
            <w:r w:rsidRPr="0091391B">
              <w:rPr>
                <w:rFonts w:cs="Arial"/>
                <w:bCs/>
                <w:color w:val="000000"/>
                <w:sz w:val="20"/>
                <w:szCs w:val="20"/>
              </w:rPr>
              <w:t xml:space="preserve"> </w:t>
            </w:r>
            <w:r>
              <w:rPr>
                <w:rFonts w:cs="Arial"/>
                <w:bCs/>
                <w:color w:val="000000"/>
                <w:sz w:val="20"/>
                <w:szCs w:val="20"/>
              </w:rPr>
              <w:t xml:space="preserve">together </w:t>
            </w:r>
            <w:r w:rsidRPr="0091391B">
              <w:rPr>
                <w:rFonts w:cs="Arial"/>
                <w:bCs/>
                <w:color w:val="000000"/>
                <w:sz w:val="20"/>
                <w:szCs w:val="20"/>
              </w:rPr>
              <w:t xml:space="preserve">what has been encountered and studied </w:t>
            </w:r>
            <w:r>
              <w:rPr>
                <w:rFonts w:cs="Arial"/>
                <w:bCs/>
                <w:color w:val="000000"/>
                <w:sz w:val="20"/>
                <w:szCs w:val="20"/>
              </w:rPr>
              <w:t>in children’s</w:t>
            </w:r>
            <w:r w:rsidRPr="0091391B">
              <w:rPr>
                <w:rFonts w:cs="Arial"/>
                <w:bCs/>
                <w:color w:val="000000"/>
                <w:sz w:val="20"/>
                <w:szCs w:val="20"/>
              </w:rPr>
              <w:t xml:space="preserve"> primary experience</w:t>
            </w:r>
            <w:r>
              <w:rPr>
                <w:rFonts w:cs="Arial"/>
                <w:bCs/>
                <w:color w:val="000000"/>
                <w:sz w:val="20"/>
                <w:szCs w:val="20"/>
              </w:rPr>
              <w:t xml:space="preserve">, </w:t>
            </w:r>
            <w:r w:rsidRPr="0091391B">
              <w:rPr>
                <w:rFonts w:cs="Arial"/>
                <w:bCs/>
                <w:color w:val="000000"/>
                <w:sz w:val="20"/>
                <w:szCs w:val="20"/>
              </w:rPr>
              <w:t xml:space="preserve">from different feeder schools. </w:t>
            </w:r>
            <w:r>
              <w:rPr>
                <w:rFonts w:cs="Arial"/>
                <w:bCs/>
                <w:color w:val="000000"/>
                <w:sz w:val="20"/>
                <w:szCs w:val="20"/>
              </w:rPr>
              <w:t>A</w:t>
            </w:r>
            <w:r w:rsidRPr="0091391B">
              <w:rPr>
                <w:rFonts w:cs="Arial"/>
                <w:bCs/>
                <w:color w:val="000000"/>
                <w:sz w:val="20"/>
                <w:szCs w:val="20"/>
              </w:rPr>
              <w:t>cknowledges different religious traditions</w:t>
            </w:r>
            <w:r>
              <w:rPr>
                <w:rFonts w:cs="Arial"/>
                <w:bCs/>
                <w:color w:val="000000"/>
                <w:sz w:val="20"/>
                <w:szCs w:val="20"/>
              </w:rPr>
              <w:t xml:space="preserve"> studied</w:t>
            </w:r>
            <w:r w:rsidRPr="0091391B">
              <w:rPr>
                <w:rFonts w:cs="Arial"/>
                <w:bCs/>
                <w:color w:val="000000"/>
                <w:sz w:val="20"/>
                <w:szCs w:val="20"/>
              </w:rPr>
              <w:t xml:space="preserve"> </w:t>
            </w:r>
            <w:r>
              <w:rPr>
                <w:rFonts w:cs="Arial"/>
                <w:bCs/>
                <w:color w:val="000000"/>
                <w:sz w:val="20"/>
                <w:szCs w:val="20"/>
              </w:rPr>
              <w:t>through bringing</w:t>
            </w:r>
            <w:r w:rsidRPr="0091391B">
              <w:rPr>
                <w:rFonts w:cs="Arial"/>
                <w:bCs/>
                <w:color w:val="000000"/>
                <w:sz w:val="20"/>
                <w:szCs w:val="20"/>
              </w:rPr>
              <w:t xml:space="preserve"> together </w:t>
            </w:r>
            <w:r>
              <w:rPr>
                <w:rFonts w:cs="Arial"/>
                <w:bCs/>
                <w:color w:val="000000"/>
                <w:sz w:val="20"/>
                <w:szCs w:val="20"/>
              </w:rPr>
              <w:t xml:space="preserve">golden </w:t>
            </w:r>
            <w:r w:rsidRPr="0091391B">
              <w:rPr>
                <w:rFonts w:cs="Arial"/>
                <w:bCs/>
                <w:color w:val="000000"/>
                <w:sz w:val="20"/>
                <w:szCs w:val="20"/>
              </w:rPr>
              <w:t xml:space="preserve">thread concepts studied </w:t>
            </w:r>
          </w:p>
        </w:tc>
      </w:tr>
      <w:tr w:rsidR="00BA51C6" w:rsidRPr="002E045C" w14:paraId="76C47176" w14:textId="77777777" w:rsidTr="00924750">
        <w:trPr>
          <w:trHeight w:val="360"/>
        </w:trPr>
        <w:tc>
          <w:tcPr>
            <w:tcW w:w="8279" w:type="dxa"/>
            <w:gridSpan w:val="2"/>
            <w:shd w:val="clear" w:color="auto" w:fill="B8DCF2"/>
            <w:vAlign w:val="center"/>
          </w:tcPr>
          <w:p w14:paraId="0E820E92" w14:textId="77777777" w:rsidR="00BA51C6" w:rsidRPr="00C644AF" w:rsidRDefault="00BA51C6" w:rsidP="00924750">
            <w:pPr>
              <w:rPr>
                <w:rFonts w:cs="Arial"/>
                <w:b/>
                <w:color w:val="000000"/>
                <w:sz w:val="24"/>
                <w:szCs w:val="24"/>
              </w:rPr>
            </w:pPr>
            <w:r>
              <w:rPr>
                <w:rFonts w:cs="Arial"/>
                <w:b/>
                <w:color w:val="000000"/>
                <w:sz w:val="24"/>
                <w:szCs w:val="24"/>
              </w:rPr>
              <w:t xml:space="preserve">Because of the teaching in this unit, young people will be able to:      </w:t>
            </w:r>
            <w:proofErr w:type="gramStart"/>
            <w:r>
              <w:rPr>
                <w:rFonts w:cs="Arial"/>
                <w:b/>
                <w:color w:val="000000"/>
                <w:sz w:val="24"/>
                <w:szCs w:val="24"/>
              </w:rPr>
              <w:t xml:space="preserve">   </w:t>
            </w:r>
            <w:r w:rsidRPr="00C644AF">
              <w:rPr>
                <w:rFonts w:cs="Arial"/>
                <w:b/>
                <w:color w:val="000000"/>
                <w:sz w:val="20"/>
                <w:szCs w:val="20"/>
              </w:rPr>
              <w:t>(</w:t>
            </w:r>
            <w:proofErr w:type="gramEnd"/>
            <w:r w:rsidRPr="00C644AF">
              <w:rPr>
                <w:rFonts w:cs="Arial"/>
                <w:b/>
                <w:color w:val="000000"/>
                <w:sz w:val="20"/>
                <w:szCs w:val="20"/>
              </w:rPr>
              <w:t xml:space="preserve">see </w:t>
            </w:r>
            <w:r w:rsidRPr="00C644AF">
              <w:rPr>
                <w:rFonts w:cs="Arial"/>
                <w:b/>
                <w:i/>
                <w:iCs/>
                <w:color w:val="000000"/>
                <w:sz w:val="20"/>
                <w:szCs w:val="20"/>
              </w:rPr>
              <w:t>LDIV</w:t>
            </w:r>
            <w:r w:rsidRPr="00C644AF">
              <w:rPr>
                <w:rFonts w:cs="Arial"/>
                <w:b/>
                <w:color w:val="000000"/>
                <w:sz w:val="20"/>
                <w:szCs w:val="20"/>
              </w:rPr>
              <w:t xml:space="preserve"> EYEs</w:t>
            </w:r>
            <w:r>
              <w:rPr>
                <w:rFonts w:cs="Arial"/>
                <w:b/>
                <w:color w:val="000000"/>
                <w:sz w:val="20"/>
                <w:szCs w:val="20"/>
              </w:rPr>
              <w:t>)</w:t>
            </w:r>
          </w:p>
        </w:tc>
        <w:tc>
          <w:tcPr>
            <w:tcW w:w="7513" w:type="dxa"/>
            <w:gridSpan w:val="2"/>
            <w:shd w:val="clear" w:color="auto" w:fill="B8DCF2"/>
            <w:vAlign w:val="center"/>
          </w:tcPr>
          <w:p w14:paraId="2E75C2F1" w14:textId="77777777" w:rsidR="00BA51C6" w:rsidRPr="002E045C" w:rsidRDefault="00BA51C6" w:rsidP="00924750">
            <w:pPr>
              <w:rPr>
                <w:rFonts w:cs="Arial"/>
                <w:b/>
                <w:color w:val="000000"/>
                <w:sz w:val="24"/>
                <w:szCs w:val="24"/>
              </w:rPr>
            </w:pPr>
            <w:r>
              <w:rPr>
                <w:rFonts w:cs="Arial"/>
                <w:b/>
                <w:color w:val="000000"/>
                <w:sz w:val="24"/>
                <w:szCs w:val="24"/>
              </w:rPr>
              <w:t>Examples of o</w:t>
            </w:r>
            <w:r w:rsidRPr="005136D0">
              <w:rPr>
                <w:rFonts w:cs="Arial"/>
                <w:b/>
                <w:color w:val="000000"/>
                <w:sz w:val="24"/>
                <w:szCs w:val="24"/>
              </w:rPr>
              <w:t xml:space="preserve">pportunities </w:t>
            </w:r>
            <w:r>
              <w:rPr>
                <w:rFonts w:cs="Arial"/>
                <w:b/>
                <w:color w:val="000000"/>
                <w:sz w:val="24"/>
                <w:szCs w:val="24"/>
              </w:rPr>
              <w:t xml:space="preserve">where progress can be checked: </w:t>
            </w:r>
            <w:r>
              <w:rPr>
                <w:rFonts w:cs="Arial"/>
                <w:b/>
                <w:i/>
                <w:iCs/>
                <w:color w:val="000000"/>
                <w:sz w:val="20"/>
                <w:szCs w:val="20"/>
              </w:rPr>
              <w:t>formative(f) and summative(s) could include:</w:t>
            </w:r>
          </w:p>
        </w:tc>
      </w:tr>
      <w:tr w:rsidR="00BA51C6" w:rsidRPr="005136D0" w14:paraId="2C546EA0" w14:textId="77777777" w:rsidTr="00924750">
        <w:trPr>
          <w:trHeight w:val="4021"/>
        </w:trPr>
        <w:tc>
          <w:tcPr>
            <w:tcW w:w="8279" w:type="dxa"/>
            <w:gridSpan w:val="2"/>
          </w:tcPr>
          <w:p w14:paraId="6941BADE" w14:textId="77777777" w:rsidR="00BA51C6" w:rsidRPr="00220B54" w:rsidRDefault="00BA51C6" w:rsidP="00BA51C6">
            <w:pPr>
              <w:pStyle w:val="ListParagraph"/>
              <w:numPr>
                <w:ilvl w:val="0"/>
                <w:numId w:val="1"/>
              </w:numPr>
              <w:rPr>
                <w:rFonts w:cs="Arial"/>
                <w:bCs/>
                <w:color w:val="000000"/>
                <w:sz w:val="20"/>
                <w:szCs w:val="20"/>
              </w:rPr>
            </w:pPr>
            <w:r w:rsidRPr="00FC005C">
              <w:rPr>
                <w:rFonts w:cs="Arial"/>
                <w:b/>
                <w:color w:val="000000"/>
                <w:sz w:val="20"/>
                <w:szCs w:val="20"/>
              </w:rPr>
              <w:t>respond creatively</w:t>
            </w:r>
            <w:r w:rsidRPr="00220B54">
              <w:rPr>
                <w:rFonts w:cs="Arial"/>
                <w:bCs/>
                <w:color w:val="000000"/>
                <w:sz w:val="20"/>
                <w:szCs w:val="20"/>
              </w:rPr>
              <w:t xml:space="preserve"> </w:t>
            </w:r>
            <w:r>
              <w:rPr>
                <w:rFonts w:cs="Arial"/>
                <w:bCs/>
                <w:color w:val="000000"/>
                <w:sz w:val="20"/>
                <w:szCs w:val="20"/>
              </w:rPr>
              <w:t>to their</w:t>
            </w:r>
            <w:r w:rsidRPr="00220B54">
              <w:rPr>
                <w:rFonts w:cs="Arial"/>
                <w:bCs/>
                <w:color w:val="000000"/>
                <w:sz w:val="20"/>
                <w:szCs w:val="20"/>
              </w:rPr>
              <w:t xml:space="preserve"> experience of </w:t>
            </w:r>
            <w:r>
              <w:rPr>
                <w:rFonts w:cs="Arial"/>
                <w:bCs/>
                <w:color w:val="000000"/>
                <w:sz w:val="20"/>
                <w:szCs w:val="20"/>
              </w:rPr>
              <w:t>special, community and belonging.</w:t>
            </w:r>
          </w:p>
          <w:p w14:paraId="19AAD25C" w14:textId="77777777" w:rsidR="00BA51C6" w:rsidRPr="00220B54" w:rsidRDefault="00BA51C6" w:rsidP="00BA51C6">
            <w:pPr>
              <w:pStyle w:val="ListParagraph"/>
              <w:numPr>
                <w:ilvl w:val="0"/>
                <w:numId w:val="1"/>
              </w:numPr>
              <w:rPr>
                <w:rFonts w:cs="Arial"/>
                <w:bCs/>
                <w:color w:val="000000"/>
                <w:sz w:val="20"/>
                <w:szCs w:val="20"/>
              </w:rPr>
            </w:pPr>
            <w:r w:rsidRPr="00FC005C">
              <w:rPr>
                <w:rFonts w:cs="Arial"/>
                <w:b/>
                <w:color w:val="000000"/>
                <w:sz w:val="20"/>
                <w:szCs w:val="20"/>
              </w:rPr>
              <w:t>explain</w:t>
            </w:r>
            <w:r w:rsidRPr="00220B54">
              <w:rPr>
                <w:rFonts w:cs="Arial"/>
                <w:bCs/>
                <w:color w:val="000000"/>
                <w:sz w:val="20"/>
                <w:szCs w:val="20"/>
              </w:rPr>
              <w:t xml:space="preserve"> how their responses relate to events in their own and other people’s lives.</w:t>
            </w:r>
          </w:p>
          <w:p w14:paraId="4954C2A0" w14:textId="77777777" w:rsidR="00BA51C6" w:rsidRPr="00220B54" w:rsidRDefault="00BA51C6" w:rsidP="00BA51C6">
            <w:pPr>
              <w:pStyle w:val="ListParagraph"/>
              <w:numPr>
                <w:ilvl w:val="0"/>
                <w:numId w:val="1"/>
              </w:numPr>
              <w:rPr>
                <w:rFonts w:cs="Arial"/>
                <w:bCs/>
                <w:color w:val="000000"/>
                <w:sz w:val="20"/>
                <w:szCs w:val="20"/>
              </w:rPr>
            </w:pPr>
            <w:r w:rsidRPr="005031FD">
              <w:rPr>
                <w:rFonts w:cs="Arial"/>
                <w:b/>
                <w:color w:val="000000"/>
                <w:sz w:val="20"/>
                <w:szCs w:val="20"/>
              </w:rPr>
              <w:t>accurately explain meanings</w:t>
            </w:r>
            <w:r w:rsidRPr="00220B54">
              <w:rPr>
                <w:rFonts w:cs="Arial"/>
                <w:bCs/>
                <w:color w:val="000000"/>
                <w:sz w:val="20"/>
                <w:szCs w:val="20"/>
              </w:rPr>
              <w:t xml:space="preserve"> of </w:t>
            </w:r>
            <w:r w:rsidRPr="006F190B">
              <w:rPr>
                <w:rFonts w:cs="Arial"/>
                <w:bCs/>
                <w:color w:val="000000"/>
                <w:sz w:val="20"/>
                <w:szCs w:val="20"/>
              </w:rPr>
              <w:t>special, community and belonging</w:t>
            </w:r>
            <w:r>
              <w:rPr>
                <w:rFonts w:cs="Arial"/>
                <w:bCs/>
                <w:color w:val="000000"/>
                <w:sz w:val="20"/>
                <w:szCs w:val="20"/>
              </w:rPr>
              <w:t xml:space="preserve"> </w:t>
            </w:r>
            <w:r w:rsidRPr="00220B54">
              <w:rPr>
                <w:rFonts w:cs="Arial"/>
                <w:bCs/>
                <w:color w:val="000000"/>
                <w:sz w:val="20"/>
                <w:szCs w:val="20"/>
              </w:rPr>
              <w:t>in the traditions encountered and studied at</w:t>
            </w:r>
            <w:r>
              <w:rPr>
                <w:rFonts w:cs="Arial"/>
                <w:bCs/>
                <w:color w:val="000000"/>
                <w:sz w:val="20"/>
                <w:szCs w:val="20"/>
              </w:rPr>
              <w:t xml:space="preserve"> the</w:t>
            </w:r>
            <w:r w:rsidRPr="00220B54">
              <w:rPr>
                <w:rFonts w:cs="Arial"/>
                <w:bCs/>
                <w:color w:val="000000"/>
                <w:sz w:val="20"/>
                <w:szCs w:val="20"/>
              </w:rPr>
              <w:t xml:space="preserve"> Inquire step</w:t>
            </w:r>
            <w:r>
              <w:rPr>
                <w:rFonts w:cs="Arial"/>
                <w:bCs/>
                <w:color w:val="000000"/>
                <w:sz w:val="20"/>
                <w:szCs w:val="20"/>
              </w:rPr>
              <w:t>, and in relation to their primary studies</w:t>
            </w:r>
            <w:r w:rsidRPr="00220B54">
              <w:rPr>
                <w:rFonts w:cs="Arial"/>
                <w:bCs/>
                <w:color w:val="000000"/>
                <w:sz w:val="20"/>
                <w:szCs w:val="20"/>
              </w:rPr>
              <w:t>.</w:t>
            </w:r>
          </w:p>
          <w:p w14:paraId="53BB5E99" w14:textId="77777777" w:rsidR="00BA51C6" w:rsidRPr="00220B54" w:rsidRDefault="00BA51C6" w:rsidP="00BA51C6">
            <w:pPr>
              <w:pStyle w:val="ListParagraph"/>
              <w:numPr>
                <w:ilvl w:val="0"/>
                <w:numId w:val="1"/>
              </w:numPr>
              <w:rPr>
                <w:rFonts w:cs="Arial"/>
                <w:bCs/>
                <w:color w:val="000000"/>
                <w:sz w:val="20"/>
                <w:szCs w:val="20"/>
              </w:rPr>
            </w:pPr>
            <w:r w:rsidRPr="005031FD">
              <w:rPr>
                <w:rFonts w:cs="Arial"/>
                <w:b/>
                <w:color w:val="000000"/>
                <w:sz w:val="20"/>
                <w:szCs w:val="20"/>
              </w:rPr>
              <w:t>accurately explain some examples</w:t>
            </w:r>
            <w:r>
              <w:rPr>
                <w:rFonts w:cs="Arial"/>
                <w:bCs/>
                <w:color w:val="000000"/>
                <w:sz w:val="20"/>
                <w:szCs w:val="20"/>
              </w:rPr>
              <w:t xml:space="preserve"> of</w:t>
            </w:r>
            <w:r w:rsidRPr="00220B54">
              <w:rPr>
                <w:rFonts w:cs="Arial"/>
                <w:bCs/>
                <w:color w:val="000000"/>
                <w:sz w:val="20"/>
                <w:szCs w:val="20"/>
              </w:rPr>
              <w:t xml:space="preserve"> </w:t>
            </w:r>
            <w:r>
              <w:rPr>
                <w:rFonts w:cs="Arial"/>
                <w:bCs/>
                <w:color w:val="000000"/>
                <w:sz w:val="20"/>
                <w:szCs w:val="20"/>
              </w:rPr>
              <w:t xml:space="preserve">how special, community and belonging manifest </w:t>
            </w:r>
            <w:r w:rsidRPr="00220B54">
              <w:rPr>
                <w:rFonts w:cs="Arial"/>
                <w:bCs/>
                <w:color w:val="000000"/>
                <w:sz w:val="20"/>
                <w:szCs w:val="20"/>
              </w:rPr>
              <w:t>in traditions encountered and studied</w:t>
            </w:r>
            <w:r>
              <w:rPr>
                <w:rFonts w:cs="Arial"/>
                <w:bCs/>
                <w:color w:val="000000"/>
                <w:sz w:val="20"/>
                <w:szCs w:val="20"/>
              </w:rPr>
              <w:t xml:space="preserve"> and</w:t>
            </w:r>
            <w:r w:rsidRPr="00220B54">
              <w:rPr>
                <w:rFonts w:cs="Arial"/>
                <w:bCs/>
                <w:color w:val="000000"/>
                <w:sz w:val="20"/>
                <w:szCs w:val="20"/>
              </w:rPr>
              <w:t xml:space="preserve"> impact</w:t>
            </w:r>
            <w:r>
              <w:rPr>
                <w:rFonts w:cs="Arial"/>
                <w:bCs/>
                <w:color w:val="000000"/>
                <w:sz w:val="20"/>
                <w:szCs w:val="20"/>
              </w:rPr>
              <w:t xml:space="preserve"> the</w:t>
            </w:r>
            <w:r w:rsidRPr="00220B54">
              <w:rPr>
                <w:rFonts w:cs="Arial"/>
                <w:bCs/>
                <w:color w:val="000000"/>
                <w:sz w:val="20"/>
                <w:szCs w:val="20"/>
              </w:rPr>
              <w:t xml:space="preserve"> lives of those in </w:t>
            </w:r>
            <w:r>
              <w:rPr>
                <w:rFonts w:cs="Arial"/>
                <w:bCs/>
                <w:color w:val="000000"/>
                <w:sz w:val="20"/>
                <w:szCs w:val="20"/>
              </w:rPr>
              <w:t xml:space="preserve">these </w:t>
            </w:r>
            <w:r w:rsidRPr="00220B54">
              <w:rPr>
                <w:rFonts w:cs="Arial"/>
                <w:bCs/>
                <w:color w:val="000000"/>
                <w:sz w:val="20"/>
                <w:szCs w:val="20"/>
              </w:rPr>
              <w:t xml:space="preserve">traditions </w:t>
            </w:r>
            <w:r>
              <w:rPr>
                <w:rFonts w:cs="Arial"/>
                <w:bCs/>
                <w:color w:val="000000"/>
                <w:sz w:val="20"/>
                <w:szCs w:val="20"/>
              </w:rPr>
              <w:t>relating this to what has been studied in their primary schools.</w:t>
            </w:r>
          </w:p>
          <w:p w14:paraId="5628F1B1" w14:textId="77777777" w:rsidR="00BA51C6" w:rsidRPr="00220B54" w:rsidRDefault="00BA51C6" w:rsidP="00BA51C6">
            <w:pPr>
              <w:pStyle w:val="ListParagraph"/>
              <w:numPr>
                <w:ilvl w:val="0"/>
                <w:numId w:val="1"/>
              </w:numPr>
              <w:rPr>
                <w:rFonts w:cs="Arial"/>
                <w:bCs/>
                <w:color w:val="000000"/>
                <w:sz w:val="20"/>
                <w:szCs w:val="20"/>
              </w:rPr>
            </w:pPr>
            <w:r w:rsidRPr="005031FD">
              <w:rPr>
                <w:rFonts w:cs="Arial"/>
                <w:b/>
                <w:color w:val="000000"/>
                <w:sz w:val="20"/>
                <w:szCs w:val="20"/>
              </w:rPr>
              <w:t xml:space="preserve">appreciate how the experience of </w:t>
            </w:r>
            <w:r w:rsidRPr="006F190B">
              <w:rPr>
                <w:rFonts w:cs="Arial"/>
                <w:b/>
                <w:color w:val="000000"/>
                <w:sz w:val="20"/>
                <w:szCs w:val="20"/>
              </w:rPr>
              <w:t>special, community and belonging</w:t>
            </w:r>
            <w:r>
              <w:rPr>
                <w:rFonts w:cs="Arial"/>
                <w:b/>
                <w:color w:val="000000"/>
                <w:sz w:val="20"/>
                <w:szCs w:val="20"/>
              </w:rPr>
              <w:t xml:space="preserve"> </w:t>
            </w:r>
            <w:r w:rsidRPr="005031FD">
              <w:rPr>
                <w:rFonts w:cs="Arial"/>
                <w:b/>
                <w:color w:val="000000"/>
                <w:sz w:val="20"/>
                <w:szCs w:val="20"/>
              </w:rPr>
              <w:t>interact together</w:t>
            </w:r>
            <w:r w:rsidRPr="00220B54">
              <w:rPr>
                <w:rFonts w:cs="Arial"/>
                <w:bCs/>
                <w:color w:val="000000"/>
                <w:sz w:val="20"/>
                <w:szCs w:val="20"/>
              </w:rPr>
              <w:t xml:space="preserve"> to influence the way people think and speak and act in the world</w:t>
            </w:r>
            <w:r>
              <w:rPr>
                <w:rFonts w:cs="Arial"/>
                <w:bCs/>
                <w:color w:val="000000"/>
                <w:sz w:val="20"/>
                <w:szCs w:val="20"/>
              </w:rPr>
              <w:t xml:space="preserve"> - </w:t>
            </w:r>
            <w:r w:rsidRPr="00220B54">
              <w:rPr>
                <w:rFonts w:cs="Arial"/>
                <w:bCs/>
                <w:color w:val="000000"/>
                <w:sz w:val="20"/>
                <w:szCs w:val="20"/>
              </w:rPr>
              <w:t xml:space="preserve">discern value of </w:t>
            </w:r>
            <w:r>
              <w:rPr>
                <w:rFonts w:cs="Arial"/>
                <w:bCs/>
                <w:color w:val="000000"/>
                <w:sz w:val="20"/>
                <w:szCs w:val="20"/>
              </w:rPr>
              <w:t xml:space="preserve">the experience of </w:t>
            </w:r>
            <w:r w:rsidRPr="006F190B">
              <w:rPr>
                <w:rFonts w:cs="Arial"/>
                <w:bCs/>
                <w:color w:val="000000"/>
                <w:sz w:val="20"/>
                <w:szCs w:val="20"/>
              </w:rPr>
              <w:t>special, community and belonging</w:t>
            </w:r>
            <w:r>
              <w:rPr>
                <w:rFonts w:cs="Arial"/>
                <w:bCs/>
                <w:color w:val="000000"/>
                <w:sz w:val="20"/>
                <w:szCs w:val="20"/>
              </w:rPr>
              <w:t xml:space="preserve"> </w:t>
            </w:r>
            <w:r w:rsidRPr="00220B54">
              <w:rPr>
                <w:rFonts w:cs="Arial"/>
                <w:bCs/>
                <w:color w:val="000000"/>
                <w:sz w:val="20"/>
                <w:szCs w:val="20"/>
              </w:rPr>
              <w:t>in the lives of those living in the traditions encountered and studied, as well recognising some of the issues this might raise articulating the value of their interconnections.</w:t>
            </w:r>
          </w:p>
          <w:p w14:paraId="7BCCF288" w14:textId="77777777" w:rsidR="00BA51C6" w:rsidRPr="00D96D23" w:rsidRDefault="00BA51C6" w:rsidP="00BA51C6">
            <w:pPr>
              <w:pStyle w:val="ListParagraph"/>
              <w:numPr>
                <w:ilvl w:val="0"/>
                <w:numId w:val="1"/>
              </w:numPr>
              <w:rPr>
                <w:rFonts w:cs="Arial"/>
                <w:b/>
                <w:color w:val="000000"/>
                <w:sz w:val="20"/>
                <w:szCs w:val="20"/>
              </w:rPr>
            </w:pPr>
            <w:r w:rsidRPr="005031FD">
              <w:rPr>
                <w:rFonts w:cs="Arial"/>
                <w:b/>
                <w:color w:val="000000"/>
                <w:sz w:val="20"/>
                <w:szCs w:val="20"/>
              </w:rPr>
              <w:t xml:space="preserve">discern possible value </w:t>
            </w:r>
            <w:r>
              <w:rPr>
                <w:rFonts w:cs="Arial"/>
                <w:b/>
                <w:color w:val="000000"/>
                <w:sz w:val="20"/>
                <w:szCs w:val="20"/>
              </w:rPr>
              <w:t xml:space="preserve">of </w:t>
            </w:r>
            <w:r w:rsidRPr="006F190B">
              <w:rPr>
                <w:rFonts w:cs="Arial"/>
                <w:bCs/>
                <w:i/>
                <w:iCs/>
                <w:color w:val="000000"/>
                <w:sz w:val="20"/>
                <w:szCs w:val="20"/>
              </w:rPr>
              <w:t>special, community and belonging</w:t>
            </w:r>
            <w:r>
              <w:rPr>
                <w:rFonts w:cs="Arial"/>
                <w:bCs/>
                <w:i/>
                <w:iCs/>
                <w:color w:val="000000"/>
                <w:sz w:val="20"/>
                <w:szCs w:val="20"/>
              </w:rPr>
              <w:t xml:space="preserve"> </w:t>
            </w:r>
            <w:r>
              <w:rPr>
                <w:rFonts w:cs="Arial"/>
                <w:b/>
                <w:color w:val="000000"/>
                <w:sz w:val="20"/>
                <w:szCs w:val="20"/>
              </w:rPr>
              <w:t>f</w:t>
            </w:r>
            <w:r w:rsidRPr="005031FD">
              <w:rPr>
                <w:rFonts w:cs="Arial"/>
                <w:b/>
                <w:color w:val="000000"/>
                <w:sz w:val="20"/>
                <w:szCs w:val="20"/>
              </w:rPr>
              <w:t>or their own lives and communities and how this might influence how they speak, think and act in the world (not usually assessed through summative assessment).</w:t>
            </w:r>
          </w:p>
        </w:tc>
        <w:tc>
          <w:tcPr>
            <w:tcW w:w="7513" w:type="dxa"/>
            <w:gridSpan w:val="2"/>
          </w:tcPr>
          <w:p w14:paraId="00814671" w14:textId="77777777" w:rsidR="00BA51C6" w:rsidRDefault="00BA51C6" w:rsidP="00BA51C6">
            <w:pPr>
              <w:pStyle w:val="ListParagraph"/>
              <w:numPr>
                <w:ilvl w:val="0"/>
                <w:numId w:val="1"/>
              </w:numPr>
              <w:rPr>
                <w:rFonts w:cs="Arial"/>
                <w:bCs/>
                <w:color w:val="000000"/>
                <w:sz w:val="20"/>
                <w:szCs w:val="20"/>
              </w:rPr>
            </w:pPr>
            <w:r w:rsidRPr="002B248A">
              <w:rPr>
                <w:rFonts w:cs="Arial"/>
                <w:bCs/>
                <w:color w:val="000000"/>
                <w:sz w:val="20"/>
                <w:szCs w:val="20"/>
              </w:rPr>
              <w:t>Creative opportunities</w:t>
            </w:r>
            <w:r>
              <w:rPr>
                <w:rFonts w:cs="Arial"/>
                <w:bCs/>
                <w:color w:val="000000"/>
                <w:sz w:val="20"/>
                <w:szCs w:val="20"/>
              </w:rPr>
              <w:t xml:space="preserve"> for young people</w:t>
            </w:r>
            <w:r w:rsidRPr="002B248A">
              <w:rPr>
                <w:rFonts w:cs="Arial"/>
                <w:bCs/>
                <w:color w:val="000000"/>
                <w:sz w:val="20"/>
                <w:szCs w:val="20"/>
              </w:rPr>
              <w:t xml:space="preserve"> to explore their experience will be offered</w:t>
            </w:r>
            <w:r>
              <w:rPr>
                <w:rFonts w:cs="Arial"/>
                <w:bCs/>
                <w:color w:val="000000"/>
                <w:sz w:val="20"/>
                <w:szCs w:val="20"/>
              </w:rPr>
              <w:t xml:space="preserve"> – including coloured pencils and plasticine </w:t>
            </w:r>
          </w:p>
          <w:p w14:paraId="7A781A6A" w14:textId="77777777" w:rsidR="00BA51C6" w:rsidRDefault="00BA51C6" w:rsidP="00BA51C6">
            <w:pPr>
              <w:pStyle w:val="ListParagraph"/>
              <w:numPr>
                <w:ilvl w:val="0"/>
                <w:numId w:val="1"/>
              </w:numPr>
              <w:rPr>
                <w:rFonts w:cs="Arial"/>
                <w:bCs/>
                <w:color w:val="000000"/>
                <w:sz w:val="20"/>
                <w:szCs w:val="20"/>
              </w:rPr>
            </w:pPr>
            <w:r>
              <w:rPr>
                <w:rFonts w:cs="Arial"/>
                <w:bCs/>
                <w:color w:val="000000"/>
                <w:sz w:val="20"/>
                <w:szCs w:val="20"/>
              </w:rPr>
              <w:t>Dialogue – paired, group and whole class is encouraged – at all stages of the enquiry</w:t>
            </w:r>
          </w:p>
          <w:p w14:paraId="6C9A4BA4" w14:textId="77777777" w:rsidR="00BA51C6" w:rsidRDefault="00BA51C6" w:rsidP="00BA51C6">
            <w:pPr>
              <w:pStyle w:val="ListParagraph"/>
              <w:numPr>
                <w:ilvl w:val="0"/>
                <w:numId w:val="1"/>
              </w:numPr>
              <w:rPr>
                <w:rFonts w:cs="Arial"/>
                <w:bCs/>
                <w:color w:val="000000"/>
                <w:sz w:val="20"/>
                <w:szCs w:val="20"/>
              </w:rPr>
            </w:pPr>
            <w:r>
              <w:rPr>
                <w:rFonts w:cs="Arial"/>
                <w:bCs/>
                <w:color w:val="000000"/>
                <w:sz w:val="20"/>
                <w:szCs w:val="20"/>
              </w:rPr>
              <w:t xml:space="preserve">Opportunities for checking meanings are understood and distinctions made - including formal and informal documentation, </w:t>
            </w:r>
          </w:p>
          <w:p w14:paraId="7654D6F9" w14:textId="77777777" w:rsidR="00BA51C6" w:rsidRDefault="00BA51C6" w:rsidP="00BA51C6">
            <w:pPr>
              <w:pStyle w:val="ListParagraph"/>
              <w:numPr>
                <w:ilvl w:val="0"/>
                <w:numId w:val="1"/>
              </w:numPr>
              <w:rPr>
                <w:rFonts w:cs="Arial"/>
                <w:bCs/>
                <w:color w:val="000000"/>
                <w:sz w:val="20"/>
                <w:szCs w:val="20"/>
              </w:rPr>
            </w:pPr>
            <w:r>
              <w:rPr>
                <w:rFonts w:cs="Arial"/>
                <w:bCs/>
                <w:color w:val="000000"/>
                <w:sz w:val="20"/>
                <w:szCs w:val="20"/>
              </w:rPr>
              <w:t>Formal writing opportunities in exercise books</w:t>
            </w:r>
          </w:p>
          <w:p w14:paraId="2FC80D29" w14:textId="77777777" w:rsidR="00BA51C6" w:rsidRPr="00D14E70" w:rsidRDefault="00BA51C6" w:rsidP="00BA51C6">
            <w:pPr>
              <w:pStyle w:val="ListParagraph"/>
              <w:numPr>
                <w:ilvl w:val="0"/>
                <w:numId w:val="1"/>
              </w:numPr>
              <w:rPr>
                <w:rFonts w:cs="Arial"/>
                <w:bCs/>
                <w:color w:val="000000"/>
                <w:sz w:val="20"/>
                <w:szCs w:val="20"/>
              </w:rPr>
            </w:pPr>
            <w:r>
              <w:rPr>
                <w:rFonts w:cs="Arial"/>
                <w:bCs/>
                <w:color w:val="000000"/>
                <w:sz w:val="20"/>
                <w:szCs w:val="20"/>
              </w:rPr>
              <w:t xml:space="preserve">Opportunities to enable young people to get better at linking key concepts using examples from materials studied should be made, this will include listening carefully to dialogue as well as giving formal writing opportunities </w:t>
            </w:r>
          </w:p>
          <w:p w14:paraId="28ADBDBB" w14:textId="77777777" w:rsidR="00BA51C6" w:rsidRPr="005136D0" w:rsidRDefault="00BA51C6" w:rsidP="00924750">
            <w:pPr>
              <w:rPr>
                <w:rFonts w:cs="Arial"/>
                <w:b/>
                <w:color w:val="000000"/>
                <w:sz w:val="24"/>
                <w:szCs w:val="24"/>
              </w:rPr>
            </w:pPr>
          </w:p>
        </w:tc>
      </w:tr>
    </w:tbl>
    <w:p w14:paraId="675F2281" w14:textId="77777777" w:rsidR="003F2389" w:rsidRDefault="003F2389"/>
    <w:sectPr w:rsidR="003F2389" w:rsidSect="00BA51C6">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E6263"/>
    <w:multiLevelType w:val="hybridMultilevel"/>
    <w:tmpl w:val="E75AE5B6"/>
    <w:lvl w:ilvl="0" w:tplc="AE5217B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51C6"/>
    <w:rsid w:val="003F2389"/>
    <w:rsid w:val="00692060"/>
    <w:rsid w:val="008752E3"/>
    <w:rsid w:val="00BA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0FF2"/>
  <w15:chartTrackingRefBased/>
  <w15:docId w15:val="{5CA9B3C5-B1D4-4F3B-933A-0B57973F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1C6"/>
    <w:pPr>
      <w:spacing w:before="120" w:after="120" w:line="240" w:lineRule="auto"/>
    </w:pPr>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51C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Hannam, Patricia</dc:creator>
  <cp:keywords/>
  <dc:description/>
  <cp:lastModifiedBy>Hannam, Patricia</cp:lastModifiedBy>
  <cp:revision>2</cp:revision>
  <dcterms:created xsi:type="dcterms:W3CDTF">2022-02-02T11:26:00Z</dcterms:created>
  <dcterms:modified xsi:type="dcterms:W3CDTF">2022-02-02T11:26:00Z</dcterms:modified>
</cp:coreProperties>
</file>