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92" w:type="dxa"/>
        <w:tblInd w:w="-62" w:type="dxa"/>
        <w:tblLayout w:type="fixed"/>
        <w:tblLook w:val="04A0" w:firstRow="1" w:lastRow="0" w:firstColumn="1" w:lastColumn="0" w:noHBand="0" w:noVBand="1"/>
      </w:tblPr>
      <w:tblGrid>
        <w:gridCol w:w="10778"/>
        <w:gridCol w:w="5014"/>
      </w:tblGrid>
      <w:tr w:rsidR="006F27A1" w14:paraId="1BF9FC74" w14:textId="77777777" w:rsidTr="00924750">
        <w:tc>
          <w:tcPr>
            <w:tcW w:w="10711" w:type="dxa"/>
            <w:shd w:val="clear" w:color="auto" w:fill="B2E1F4"/>
          </w:tcPr>
          <w:p w14:paraId="577AFC0C" w14:textId="77777777" w:rsidR="006F27A1" w:rsidRPr="001B6276" w:rsidRDefault="006F27A1" w:rsidP="00924750">
            <w:pPr>
              <w:rPr>
                <w:b/>
                <w:sz w:val="36"/>
                <w:szCs w:val="36"/>
              </w:rPr>
            </w:pPr>
            <w:r w:rsidRPr="001B6276">
              <w:rPr>
                <w:b/>
                <w:sz w:val="36"/>
                <w:szCs w:val="36"/>
              </w:rPr>
              <w:t>How this unit will:</w:t>
            </w:r>
          </w:p>
        </w:tc>
        <w:tc>
          <w:tcPr>
            <w:tcW w:w="4983" w:type="dxa"/>
            <w:shd w:val="clear" w:color="auto" w:fill="B2E1F4"/>
          </w:tcPr>
          <w:p w14:paraId="24243460" w14:textId="77777777" w:rsidR="006F27A1" w:rsidRDefault="006F27A1" w:rsidP="00924750">
            <w:pPr>
              <w:pStyle w:val="Heading1"/>
              <w:outlineLvl w:val="0"/>
            </w:pPr>
            <w:r>
              <w:t>This unit also:</w:t>
            </w:r>
          </w:p>
        </w:tc>
      </w:tr>
      <w:tr w:rsidR="006F27A1" w:rsidRPr="005C3B94" w14:paraId="63DC23EC" w14:textId="77777777" w:rsidTr="00924750">
        <w:trPr>
          <w:trHeight w:val="1821"/>
        </w:trPr>
        <w:tc>
          <w:tcPr>
            <w:tcW w:w="10711" w:type="dxa"/>
            <w:vMerge w:val="restart"/>
          </w:tcPr>
          <w:p w14:paraId="60569CBF" w14:textId="77777777" w:rsidR="006F27A1" w:rsidRPr="001B6276" w:rsidRDefault="006F27A1" w:rsidP="00924750">
            <w:pPr>
              <w:rPr>
                <w:b/>
              </w:rPr>
            </w:pPr>
            <w:r w:rsidRPr="001B6276">
              <w:rPr>
                <w:b/>
              </w:rPr>
              <w:t xml:space="preserve"> (</w:t>
            </w:r>
            <w:proofErr w:type="spellStart"/>
            <w:r w:rsidRPr="001B6276">
              <w:rPr>
                <w:b/>
              </w:rPr>
              <w:t>i</w:t>
            </w:r>
            <w:proofErr w:type="spellEnd"/>
            <w:r w:rsidRPr="001B6276">
              <w:rPr>
                <w:b/>
              </w:rPr>
              <w:t>) Contribute to the promotion of students’ SMSC development</w:t>
            </w:r>
          </w:p>
          <w:p w14:paraId="75C82479" w14:textId="77777777" w:rsidR="006F27A1" w:rsidRPr="001B6276" w:rsidRDefault="006F27A1" w:rsidP="00924750">
            <w:pPr>
              <w:rPr>
                <w:rFonts w:cs="Arial"/>
                <w:i/>
              </w:rPr>
            </w:pPr>
            <w:r w:rsidRPr="001B6276">
              <w:rPr>
                <w:rFonts w:cs="Arial"/>
              </w:rPr>
              <w:t xml:space="preserve">This unit will contribute to the promotion of all aspects of students’ spiritual, moral, </w:t>
            </w:r>
            <w:proofErr w:type="gramStart"/>
            <w:r w:rsidRPr="001B6276">
              <w:rPr>
                <w:rFonts w:cs="Arial"/>
              </w:rPr>
              <w:t>social</w:t>
            </w:r>
            <w:proofErr w:type="gramEnd"/>
            <w:r w:rsidRPr="001B6276">
              <w:rPr>
                <w:rFonts w:cs="Arial"/>
              </w:rPr>
              <w:t xml:space="preserve"> and cultural (SMSC) development. For example by deliberately increasing students’ </w:t>
            </w:r>
            <w:r w:rsidRPr="001B6276">
              <w:rPr>
                <w:rFonts w:cs="Arial"/>
                <w:i/>
              </w:rPr>
              <w:t>“ability to be reflective about their own beliefs, religious or otherwise, that inform their perspective on life and their interest in and respect for different people’s faiths, feelings and value</w:t>
            </w:r>
            <w:r w:rsidRPr="001B6276">
              <w:rPr>
                <w:rFonts w:cs="Arial"/>
              </w:rPr>
              <w:t xml:space="preserve">” (spiritual), also by creating educative opportunities for students to </w:t>
            </w:r>
            <w:r w:rsidRPr="001B6276">
              <w:rPr>
                <w:rFonts w:cs="Arial"/>
                <w:i/>
              </w:rPr>
              <w:t>“use of a range of social skills in different contexts, for example working and socialising with other pupils, including those from different religious, ethnic and socio-economic backgrounds”</w:t>
            </w:r>
            <w:r w:rsidRPr="001B6276">
              <w:rPr>
                <w:rFonts w:cs="Arial"/>
              </w:rPr>
              <w:t xml:space="preserve"> (social), as well as the way this unit will cultivate an interest for students in </w:t>
            </w:r>
            <w:r w:rsidRPr="001B6276">
              <w:rPr>
                <w:rFonts w:cs="Arial"/>
                <w:i/>
              </w:rPr>
              <w:t xml:space="preserve">“exploring, improving understanding of and showing respect for different faiths and cultural diversity and the extent to which they understand, accept, respect and celebrate diversity, as shown by their tolerance and attitudes towards different religious, ethnic and socio-economic groups in the local, national and global communities” </w:t>
            </w:r>
            <w:r w:rsidRPr="001B6276">
              <w:rPr>
                <w:rFonts w:cs="Arial"/>
              </w:rPr>
              <w:t>(cultural)</w:t>
            </w:r>
            <w:r w:rsidRPr="001B6276">
              <w:rPr>
                <w:rFonts w:cs="Arial"/>
                <w:i/>
              </w:rPr>
              <w:t>.</w:t>
            </w:r>
          </w:p>
          <w:p w14:paraId="1A2C350A" w14:textId="77777777" w:rsidR="006F27A1" w:rsidRPr="001B6276" w:rsidRDefault="006F27A1" w:rsidP="00924750">
            <w:pPr>
              <w:rPr>
                <w:rFonts w:cs="Arial"/>
                <w:i/>
              </w:rPr>
            </w:pPr>
          </w:p>
          <w:p w14:paraId="2CFB7682" w14:textId="77777777" w:rsidR="006F27A1" w:rsidRPr="001B6276" w:rsidRDefault="006F27A1" w:rsidP="00924750">
            <w:pPr>
              <w:rPr>
                <w:rFonts w:cs="Arial"/>
                <w:b/>
              </w:rPr>
            </w:pPr>
            <w:r w:rsidRPr="001B6276">
              <w:rPr>
                <w:rFonts w:cs="Arial"/>
              </w:rPr>
              <w:t>(</w:t>
            </w:r>
            <w:r w:rsidRPr="001B6276">
              <w:rPr>
                <w:rFonts w:cs="Arial"/>
                <w:b/>
              </w:rPr>
              <w:t>ii) Prepare children and young people for life in modern Britain</w:t>
            </w:r>
          </w:p>
          <w:p w14:paraId="45FE23B5" w14:textId="77777777" w:rsidR="006F27A1" w:rsidRPr="001B6276" w:rsidRDefault="006F27A1" w:rsidP="00924750">
            <w:pPr>
              <w:rPr>
                <w:rFonts w:cs="Arial"/>
              </w:rPr>
            </w:pPr>
            <w:r w:rsidRPr="001B6276">
              <w:rPr>
                <w:rFonts w:cs="Arial"/>
              </w:rPr>
              <w:t xml:space="preserve">Where the students’ SMSC development is being actively promoted it is most likely students will be being prepared for life in modern Britain. However, in addition to this the way high-quality dialogue is promoted in all RE classrooms and students are enabled to have an </w:t>
            </w:r>
            <w:r w:rsidRPr="001B6276">
              <w:rPr>
                <w:rFonts w:cs="Arial"/>
                <w:i/>
              </w:rPr>
              <w:t>“interest in investigating and offering reasoned views about moral and ethical issues and ability to understand and appreciate the viewpoints of others on these issues”</w:t>
            </w:r>
            <w:r w:rsidRPr="001B6276">
              <w:rPr>
                <w:rFonts w:cs="Arial"/>
              </w:rPr>
              <w:t>, this can be further assured.</w:t>
            </w:r>
          </w:p>
          <w:p w14:paraId="41AC9F5C" w14:textId="77777777" w:rsidR="006F27A1" w:rsidRPr="001B6276" w:rsidRDefault="006F27A1" w:rsidP="00924750">
            <w:pPr>
              <w:rPr>
                <w:rFonts w:cs="Arial"/>
                <w:b/>
              </w:rPr>
            </w:pPr>
            <w:r w:rsidRPr="001B6276">
              <w:rPr>
                <w:rFonts w:cs="Arial"/>
                <w:b/>
              </w:rPr>
              <w:t>(iii) Ensure progress for all students</w:t>
            </w:r>
          </w:p>
          <w:p w14:paraId="166A66A3" w14:textId="77777777" w:rsidR="006F27A1" w:rsidRPr="005B2263" w:rsidRDefault="006F27A1" w:rsidP="00924750">
            <w:pPr>
              <w:ind w:left="63"/>
              <w:rPr>
                <w:sz w:val="20"/>
                <w:szCs w:val="20"/>
              </w:rPr>
            </w:pPr>
            <w:r w:rsidRPr="001B6276">
              <w:rPr>
                <w:rFonts w:cs="Arial"/>
              </w:rPr>
              <w:t>The high level of questioning</w:t>
            </w:r>
            <w:r>
              <w:rPr>
                <w:rFonts w:cs="Arial"/>
              </w:rPr>
              <w:t xml:space="preserve"> and classroom dialogue</w:t>
            </w:r>
            <w:r w:rsidRPr="001B6276">
              <w:rPr>
                <w:rFonts w:cs="Arial"/>
              </w:rPr>
              <w:t xml:space="preserve"> assumed in </w:t>
            </w:r>
            <w:r>
              <w:rPr>
                <w:rFonts w:cs="Arial"/>
              </w:rPr>
              <w:t>the way teachers interact in the classroom</w:t>
            </w:r>
            <w:r w:rsidRPr="001B6276">
              <w:rPr>
                <w:rFonts w:cs="Arial"/>
              </w:rPr>
              <w:t xml:space="preserve"> and the open-ended nature of the enquiry, as well as the opportunities for independent and additional study, will ensure students are able to achieve age-related expectations in religious education</w:t>
            </w:r>
          </w:p>
        </w:tc>
        <w:tc>
          <w:tcPr>
            <w:tcW w:w="4983" w:type="dxa"/>
          </w:tcPr>
          <w:p w14:paraId="0AF0495E" w14:textId="77777777" w:rsidR="006F27A1" w:rsidRDefault="006F27A1" w:rsidP="00924750">
            <w:pPr>
              <w:rPr>
                <w:b/>
                <w:sz w:val="20"/>
                <w:szCs w:val="20"/>
              </w:rPr>
            </w:pPr>
            <w:r w:rsidRPr="005B2263">
              <w:rPr>
                <w:b/>
                <w:sz w:val="20"/>
                <w:szCs w:val="20"/>
              </w:rPr>
              <w:t>Links with young people’s prior knowledge by …</w:t>
            </w:r>
          </w:p>
          <w:p w14:paraId="3F3B5FEF" w14:textId="77777777" w:rsidR="006F27A1" w:rsidRPr="005C3B94" w:rsidRDefault="006F27A1" w:rsidP="00924750">
            <w:pPr>
              <w:rPr>
                <w:bCs/>
                <w:sz w:val="20"/>
                <w:szCs w:val="20"/>
              </w:rPr>
            </w:pPr>
            <w:r w:rsidRPr="00262A81">
              <w:rPr>
                <w:b/>
                <w:sz w:val="20"/>
                <w:szCs w:val="20"/>
              </w:rPr>
              <w:t>Explicitly</w:t>
            </w:r>
            <w:r w:rsidRPr="005C3B94">
              <w:rPr>
                <w:bCs/>
                <w:sz w:val="20"/>
                <w:szCs w:val="20"/>
              </w:rPr>
              <w:t xml:space="preserve"> </w:t>
            </w:r>
            <w:r>
              <w:rPr>
                <w:bCs/>
                <w:sz w:val="20"/>
                <w:szCs w:val="20"/>
              </w:rPr>
              <w:t xml:space="preserve">giving </w:t>
            </w:r>
            <w:r w:rsidRPr="005C3B94">
              <w:rPr>
                <w:bCs/>
                <w:sz w:val="20"/>
                <w:szCs w:val="20"/>
              </w:rPr>
              <w:t>opportunities for young people</w:t>
            </w:r>
            <w:r>
              <w:rPr>
                <w:bCs/>
                <w:sz w:val="20"/>
                <w:szCs w:val="20"/>
              </w:rPr>
              <w:t xml:space="preserve"> to</w:t>
            </w:r>
            <w:r w:rsidRPr="005C3B94">
              <w:rPr>
                <w:bCs/>
                <w:sz w:val="20"/>
                <w:szCs w:val="20"/>
              </w:rPr>
              <w:t xml:space="preserve"> discuss, explore and celebrate together</w:t>
            </w:r>
            <w:r>
              <w:rPr>
                <w:bCs/>
                <w:sz w:val="20"/>
                <w:szCs w:val="20"/>
              </w:rPr>
              <w:t>,</w:t>
            </w:r>
            <w:r w:rsidRPr="005C3B94">
              <w:rPr>
                <w:bCs/>
                <w:sz w:val="20"/>
                <w:szCs w:val="20"/>
              </w:rPr>
              <w:t xml:space="preserve"> creatively, and intellectually</w:t>
            </w:r>
            <w:r>
              <w:rPr>
                <w:bCs/>
                <w:sz w:val="20"/>
                <w:szCs w:val="20"/>
              </w:rPr>
              <w:t>, their experience of</w:t>
            </w:r>
            <w:r w:rsidRPr="005C3B94">
              <w:rPr>
                <w:bCs/>
                <w:sz w:val="20"/>
                <w:szCs w:val="20"/>
              </w:rPr>
              <w:t xml:space="preserve"> what has been studied in religious education across time in their respective primary schools.</w:t>
            </w:r>
          </w:p>
        </w:tc>
      </w:tr>
      <w:tr w:rsidR="006F27A1" w:rsidRPr="00852541" w14:paraId="3B843590" w14:textId="77777777" w:rsidTr="00924750">
        <w:trPr>
          <w:trHeight w:val="2848"/>
        </w:trPr>
        <w:tc>
          <w:tcPr>
            <w:tcW w:w="10711" w:type="dxa"/>
            <w:vMerge/>
          </w:tcPr>
          <w:p w14:paraId="0F5AF53F" w14:textId="77777777" w:rsidR="006F27A1" w:rsidRPr="005B2263" w:rsidRDefault="006F27A1" w:rsidP="00924750">
            <w:pPr>
              <w:rPr>
                <w:b/>
                <w:sz w:val="20"/>
                <w:szCs w:val="20"/>
              </w:rPr>
            </w:pPr>
          </w:p>
        </w:tc>
        <w:tc>
          <w:tcPr>
            <w:tcW w:w="4983" w:type="dxa"/>
          </w:tcPr>
          <w:p w14:paraId="2F7F2391" w14:textId="5ED363BC" w:rsidR="006F27A1" w:rsidRPr="00852541" w:rsidRDefault="006F27A1" w:rsidP="00924750">
            <w:pPr>
              <w:rPr>
                <w:bCs/>
                <w:sz w:val="20"/>
                <w:szCs w:val="20"/>
              </w:rPr>
            </w:pPr>
            <w:r w:rsidRPr="005B2263">
              <w:rPr>
                <w:b/>
                <w:sz w:val="20"/>
                <w:szCs w:val="20"/>
              </w:rPr>
              <w:t xml:space="preserve">Supports </w:t>
            </w:r>
            <w:r>
              <w:rPr>
                <w:b/>
                <w:sz w:val="20"/>
                <w:szCs w:val="20"/>
              </w:rPr>
              <w:t xml:space="preserve">children and </w:t>
            </w:r>
            <w:r w:rsidRPr="005B2263">
              <w:rPr>
                <w:b/>
                <w:sz w:val="20"/>
                <w:szCs w:val="20"/>
              </w:rPr>
              <w:t xml:space="preserve">young people with SEND needs and ensures greater depth exploration is also possible </w:t>
            </w:r>
            <w:proofErr w:type="gramStart"/>
            <w:r w:rsidRPr="005B2263">
              <w:rPr>
                <w:b/>
                <w:sz w:val="20"/>
                <w:szCs w:val="20"/>
              </w:rPr>
              <w:t>by</w:t>
            </w:r>
            <w:r w:rsidR="00C75CC4">
              <w:rPr>
                <w:bCs/>
                <w:sz w:val="20"/>
                <w:szCs w:val="20"/>
              </w:rPr>
              <w:t>:</w:t>
            </w:r>
            <w:proofErr w:type="gramEnd"/>
            <w:r w:rsidRPr="004D4686">
              <w:rPr>
                <w:bCs/>
                <w:sz w:val="20"/>
                <w:szCs w:val="20"/>
              </w:rPr>
              <w:t xml:space="preserve"> </w:t>
            </w:r>
            <w:r>
              <w:rPr>
                <w:bCs/>
                <w:sz w:val="20"/>
                <w:szCs w:val="20"/>
              </w:rPr>
              <w:t xml:space="preserve">holding high expectations for all young people as well as </w:t>
            </w:r>
            <w:r w:rsidRPr="004D4686">
              <w:rPr>
                <w:bCs/>
                <w:sz w:val="20"/>
                <w:szCs w:val="20"/>
              </w:rPr>
              <w:t>for example recognising speech, language, and communication (SLC) needs</w:t>
            </w:r>
            <w:r w:rsidR="006177D5">
              <w:rPr>
                <w:bCs/>
                <w:sz w:val="20"/>
                <w:szCs w:val="20"/>
              </w:rPr>
              <w:t>.</w:t>
            </w:r>
            <w:r w:rsidRPr="004D4686">
              <w:rPr>
                <w:bCs/>
                <w:sz w:val="20"/>
                <w:szCs w:val="20"/>
              </w:rPr>
              <w:t xml:space="preserve"> </w:t>
            </w:r>
            <w:r w:rsidR="006177D5">
              <w:rPr>
                <w:bCs/>
                <w:sz w:val="20"/>
                <w:szCs w:val="20"/>
              </w:rPr>
              <w:t>Young people</w:t>
            </w:r>
            <w:r w:rsidRPr="004D4686">
              <w:rPr>
                <w:bCs/>
                <w:sz w:val="20"/>
                <w:szCs w:val="20"/>
              </w:rPr>
              <w:t xml:space="preserve"> </w:t>
            </w:r>
            <w:r>
              <w:rPr>
                <w:bCs/>
                <w:sz w:val="20"/>
                <w:szCs w:val="20"/>
              </w:rPr>
              <w:t>welcom</w:t>
            </w:r>
            <w:r w:rsidR="006177D5">
              <w:rPr>
                <w:bCs/>
                <w:sz w:val="20"/>
                <w:szCs w:val="20"/>
              </w:rPr>
              <w:t>ed</w:t>
            </w:r>
            <w:r>
              <w:rPr>
                <w:bCs/>
                <w:sz w:val="20"/>
                <w:szCs w:val="20"/>
              </w:rPr>
              <w:t xml:space="preserve"> into the classroom, ensuring a relational approach to teaching</w:t>
            </w:r>
            <w:r w:rsidR="006177D5">
              <w:rPr>
                <w:bCs/>
                <w:sz w:val="20"/>
                <w:szCs w:val="20"/>
              </w:rPr>
              <w:t>. High</w:t>
            </w:r>
            <w:r w:rsidRPr="004D4686">
              <w:rPr>
                <w:bCs/>
                <w:sz w:val="20"/>
                <w:szCs w:val="20"/>
              </w:rPr>
              <w:t xml:space="preserve"> quality classroom dialogue and talk</w:t>
            </w:r>
            <w:r w:rsidR="006177D5">
              <w:rPr>
                <w:bCs/>
                <w:sz w:val="20"/>
                <w:szCs w:val="20"/>
              </w:rPr>
              <w:t xml:space="preserve"> is always </w:t>
            </w:r>
            <w:r w:rsidR="009E5849">
              <w:rPr>
                <w:bCs/>
                <w:sz w:val="20"/>
                <w:szCs w:val="20"/>
              </w:rPr>
              <w:t>encouraged and made possible. Opportunity for the use of</w:t>
            </w:r>
            <w:r w:rsidRPr="004D4686">
              <w:rPr>
                <w:bCs/>
                <w:sz w:val="20"/>
                <w:szCs w:val="20"/>
              </w:rPr>
              <w:t xml:space="preserve"> visuals and colour</w:t>
            </w:r>
            <w:r w:rsidR="00F34D8D">
              <w:rPr>
                <w:bCs/>
                <w:sz w:val="20"/>
                <w:szCs w:val="20"/>
              </w:rPr>
              <w:t>,</w:t>
            </w:r>
            <w:r w:rsidRPr="004D4686">
              <w:rPr>
                <w:bCs/>
                <w:sz w:val="20"/>
                <w:szCs w:val="20"/>
              </w:rPr>
              <w:t xml:space="preserve"> in books and other written examples</w:t>
            </w:r>
            <w:r w:rsidR="00F34D8D">
              <w:rPr>
                <w:bCs/>
                <w:sz w:val="20"/>
                <w:szCs w:val="20"/>
              </w:rPr>
              <w:t>,</w:t>
            </w:r>
            <w:r w:rsidR="009E5849">
              <w:rPr>
                <w:bCs/>
                <w:sz w:val="20"/>
                <w:szCs w:val="20"/>
              </w:rPr>
              <w:t xml:space="preserve"> regularly offered to all young people</w:t>
            </w:r>
            <w:r w:rsidRPr="004D4686">
              <w:rPr>
                <w:bCs/>
                <w:sz w:val="20"/>
                <w:szCs w:val="20"/>
              </w:rPr>
              <w:t>.</w:t>
            </w:r>
          </w:p>
        </w:tc>
      </w:tr>
      <w:tr w:rsidR="006F27A1" w:rsidRPr="005B2263" w14:paraId="18FB1A7F" w14:textId="77777777" w:rsidTr="00924750">
        <w:trPr>
          <w:trHeight w:val="2631"/>
        </w:trPr>
        <w:tc>
          <w:tcPr>
            <w:tcW w:w="10711" w:type="dxa"/>
            <w:vMerge/>
          </w:tcPr>
          <w:p w14:paraId="5A079E84" w14:textId="77777777" w:rsidR="006F27A1" w:rsidRPr="005B2263" w:rsidRDefault="006F27A1" w:rsidP="00924750">
            <w:pPr>
              <w:rPr>
                <w:b/>
                <w:sz w:val="20"/>
                <w:szCs w:val="20"/>
              </w:rPr>
            </w:pPr>
          </w:p>
        </w:tc>
        <w:tc>
          <w:tcPr>
            <w:tcW w:w="4983" w:type="dxa"/>
          </w:tcPr>
          <w:p w14:paraId="7159198C" w14:textId="6EA61EC7" w:rsidR="006F27A1" w:rsidRPr="005B2263" w:rsidRDefault="00C75CC4" w:rsidP="00924750">
            <w:pPr>
              <w:rPr>
                <w:b/>
                <w:bCs/>
                <w:sz w:val="20"/>
                <w:szCs w:val="20"/>
              </w:rPr>
            </w:pPr>
            <w:r>
              <w:rPr>
                <w:b/>
                <w:bCs/>
                <w:sz w:val="20"/>
                <w:szCs w:val="20"/>
              </w:rPr>
              <w:t>H</w:t>
            </w:r>
            <w:r w:rsidR="006F27A1" w:rsidRPr="005B2263">
              <w:rPr>
                <w:b/>
                <w:bCs/>
                <w:sz w:val="20"/>
                <w:szCs w:val="20"/>
              </w:rPr>
              <w:t>igh quality resources always in use</w:t>
            </w:r>
            <w:r>
              <w:rPr>
                <w:b/>
                <w:bCs/>
                <w:sz w:val="20"/>
                <w:szCs w:val="20"/>
              </w:rPr>
              <w:t>:</w:t>
            </w:r>
          </w:p>
          <w:p w14:paraId="023609C6" w14:textId="77777777" w:rsidR="006F27A1" w:rsidRPr="005B2263" w:rsidRDefault="006F27A1" w:rsidP="00924750">
            <w:pPr>
              <w:rPr>
                <w:sz w:val="20"/>
                <w:szCs w:val="20"/>
              </w:rPr>
            </w:pPr>
            <w:r w:rsidRPr="005B2263">
              <w:rPr>
                <w:sz w:val="20"/>
                <w:szCs w:val="20"/>
              </w:rPr>
              <w:t xml:space="preserve">For example, using RE Centre packs </w:t>
            </w:r>
            <w:r>
              <w:rPr>
                <w:sz w:val="20"/>
                <w:szCs w:val="20"/>
              </w:rPr>
              <w:t xml:space="preserve">available on Hampshire Website </w:t>
            </w:r>
            <w:r w:rsidRPr="005B2263">
              <w:rPr>
                <w:sz w:val="20"/>
                <w:szCs w:val="20"/>
              </w:rPr>
              <w:t>and Moodle+ plans</w:t>
            </w:r>
            <w:r>
              <w:rPr>
                <w:sz w:val="20"/>
                <w:szCs w:val="20"/>
              </w:rPr>
              <w:t>.</w:t>
            </w:r>
          </w:p>
          <w:p w14:paraId="6E21926C" w14:textId="77777777" w:rsidR="006F27A1" w:rsidRPr="005B2263" w:rsidRDefault="006F27A1" w:rsidP="00924750">
            <w:pPr>
              <w:rPr>
                <w:b/>
                <w:sz w:val="20"/>
                <w:szCs w:val="20"/>
              </w:rPr>
            </w:pPr>
            <w:r w:rsidRPr="005B2263">
              <w:rPr>
                <w:sz w:val="20"/>
                <w:szCs w:val="20"/>
              </w:rPr>
              <w:t xml:space="preserve">IMPORTANT TO NOTE: Materials </w:t>
            </w:r>
            <w:r>
              <w:rPr>
                <w:sz w:val="20"/>
                <w:szCs w:val="20"/>
              </w:rPr>
              <w:t>for the</w:t>
            </w:r>
            <w:r w:rsidRPr="005B2263">
              <w:rPr>
                <w:sz w:val="20"/>
                <w:szCs w:val="20"/>
              </w:rPr>
              <w:t xml:space="preserve"> </w:t>
            </w:r>
            <w:r>
              <w:rPr>
                <w:b/>
                <w:sz w:val="20"/>
                <w:szCs w:val="20"/>
              </w:rPr>
              <w:t>I</w:t>
            </w:r>
            <w:r w:rsidRPr="006B55B4">
              <w:rPr>
                <w:b/>
                <w:sz w:val="20"/>
                <w:szCs w:val="20"/>
              </w:rPr>
              <w:t>nquire</w:t>
            </w:r>
            <w:r w:rsidRPr="005B2263">
              <w:rPr>
                <w:sz w:val="20"/>
                <w:szCs w:val="20"/>
              </w:rPr>
              <w:t xml:space="preserve"> and </w:t>
            </w:r>
            <w:r w:rsidRPr="006B55B4">
              <w:rPr>
                <w:b/>
                <w:sz w:val="20"/>
                <w:szCs w:val="20"/>
              </w:rPr>
              <w:t>Contextualis</w:t>
            </w:r>
            <w:r>
              <w:rPr>
                <w:b/>
                <w:sz w:val="20"/>
                <w:szCs w:val="20"/>
              </w:rPr>
              <w:t xml:space="preserve">e </w:t>
            </w:r>
            <w:r>
              <w:rPr>
                <w:sz w:val="20"/>
                <w:szCs w:val="20"/>
              </w:rPr>
              <w:t>steps</w:t>
            </w:r>
            <w:r w:rsidRPr="005B2263">
              <w:rPr>
                <w:sz w:val="20"/>
                <w:szCs w:val="20"/>
              </w:rPr>
              <w:t xml:space="preserve"> must be chosen carefully by specialist teachers in such a way as to open-up</w:t>
            </w:r>
            <w:r>
              <w:rPr>
                <w:sz w:val="20"/>
                <w:szCs w:val="20"/>
              </w:rPr>
              <w:t xml:space="preserve"> intellectually challenging </w:t>
            </w:r>
            <w:r w:rsidRPr="005B2263">
              <w:rPr>
                <w:sz w:val="20"/>
                <w:szCs w:val="20"/>
              </w:rPr>
              <w:t>discussions</w:t>
            </w:r>
            <w:r>
              <w:rPr>
                <w:sz w:val="20"/>
                <w:szCs w:val="20"/>
              </w:rPr>
              <w:t>, appropriate for the age of the children/ young people</w:t>
            </w:r>
          </w:p>
        </w:tc>
      </w:tr>
    </w:tbl>
    <w:p w14:paraId="784B6D67" w14:textId="77777777" w:rsidR="003F2389" w:rsidRDefault="003F2389"/>
    <w:sectPr w:rsidR="003F2389" w:rsidSect="006F27A1">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27A1"/>
    <w:rsid w:val="003F2389"/>
    <w:rsid w:val="006177D5"/>
    <w:rsid w:val="006F27A1"/>
    <w:rsid w:val="008752E3"/>
    <w:rsid w:val="009E5849"/>
    <w:rsid w:val="00C75CC4"/>
    <w:rsid w:val="00E24AF3"/>
    <w:rsid w:val="00F3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06A8"/>
  <w15:chartTrackingRefBased/>
  <w15:docId w15:val="{5AA1086C-0332-4ED3-BB9A-E0FF5194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A1"/>
    <w:pPr>
      <w:spacing w:before="120" w:after="120" w:line="240" w:lineRule="auto"/>
    </w:pPr>
    <w:rPr>
      <w:rFonts w:ascii="Arial" w:hAnsi="Arial"/>
      <w:lang w:val="en-GB"/>
    </w:rPr>
  </w:style>
  <w:style w:type="paragraph" w:styleId="Heading1">
    <w:name w:val="heading 1"/>
    <w:basedOn w:val="Normal"/>
    <w:next w:val="Normal"/>
    <w:link w:val="Heading1Char"/>
    <w:uiPriority w:val="9"/>
    <w:qFormat/>
    <w:rsid w:val="006F27A1"/>
    <w:pPr>
      <w:keepNext/>
      <w:keepLines/>
      <w:outlineLvl w:val="0"/>
    </w:pPr>
    <w:rPr>
      <w:rFonts w:eastAsiaTheme="majorEastAsia"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7A1"/>
    <w:rPr>
      <w:rFonts w:ascii="Arial" w:eastAsiaTheme="majorEastAsia" w:hAnsi="Arial" w:cstheme="majorBidi"/>
      <w:b/>
      <w:bCs/>
      <w:sz w:val="36"/>
      <w:szCs w:val="28"/>
      <w:lang w:val="en-GB"/>
    </w:rPr>
  </w:style>
  <w:style w:type="table" w:styleId="TableGrid">
    <w:name w:val="Table Grid"/>
    <w:basedOn w:val="TableNormal"/>
    <w:uiPriority w:val="59"/>
    <w:rsid w:val="006F27A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Hannam, Patricia</dc:creator>
  <cp:keywords/>
  <dc:description/>
  <cp:lastModifiedBy>Hannam, Patricia</cp:lastModifiedBy>
  <cp:revision>2</cp:revision>
  <dcterms:created xsi:type="dcterms:W3CDTF">2022-02-02T11:40:00Z</dcterms:created>
  <dcterms:modified xsi:type="dcterms:W3CDTF">2022-02-02T11:40:00Z</dcterms:modified>
</cp:coreProperties>
</file>